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9F16" w14:textId="1F5A9ECC" w:rsidR="00637FA7" w:rsidRDefault="00637FA7" w:rsidP="00637FA7">
      <w:pPr>
        <w:ind w:left="-567" w:right="-426"/>
      </w:pPr>
      <w:r w:rsidRPr="00637FA7">
        <w:rPr>
          <w:noProof/>
        </w:rPr>
        <w:drawing>
          <wp:inline distT="0" distB="0" distL="0" distR="0" wp14:anchorId="27B2F41F" wp14:editId="7F09427C">
            <wp:extent cx="6469380" cy="8719820"/>
            <wp:effectExtent l="0" t="0" r="7620" b="5080"/>
            <wp:docPr id="234557629"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69380" cy="8719820"/>
                    </a:xfrm>
                    <a:prstGeom prst="rect">
                      <a:avLst/>
                    </a:prstGeom>
                    <a:noFill/>
                    <a:ln>
                      <a:noFill/>
                    </a:ln>
                  </pic:spPr>
                </pic:pic>
              </a:graphicData>
            </a:graphic>
          </wp:inline>
        </w:drawing>
      </w:r>
    </w:p>
    <w:p w14:paraId="58F1141E" w14:textId="119C626B" w:rsidR="00637FA7" w:rsidRDefault="00637FA7" w:rsidP="00637FA7">
      <w:pPr>
        <w:ind w:left="-567" w:right="-426"/>
      </w:pPr>
      <w:r w:rsidRPr="00637FA7">
        <w:rPr>
          <w:noProof/>
        </w:rPr>
        <w:lastRenderedPageBreak/>
        <w:drawing>
          <wp:inline distT="0" distB="0" distL="0" distR="0" wp14:anchorId="04CA4933" wp14:editId="4664372B">
            <wp:extent cx="6484620" cy="8590280"/>
            <wp:effectExtent l="0" t="0" r="0" b="1270"/>
            <wp:docPr id="213079260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4620" cy="8590280"/>
                    </a:xfrm>
                    <a:prstGeom prst="rect">
                      <a:avLst/>
                    </a:prstGeom>
                    <a:noFill/>
                    <a:ln>
                      <a:noFill/>
                    </a:ln>
                  </pic:spPr>
                </pic:pic>
              </a:graphicData>
            </a:graphic>
          </wp:inline>
        </w:drawing>
      </w:r>
    </w:p>
    <w:p w14:paraId="43FCA904" w14:textId="4E06547C" w:rsidR="00637FA7" w:rsidRDefault="00637FA7" w:rsidP="00637FA7">
      <w:pPr>
        <w:ind w:left="-567" w:right="-426"/>
      </w:pPr>
      <w:r w:rsidRPr="00637FA7">
        <w:rPr>
          <w:noProof/>
        </w:rPr>
        <w:lastRenderedPageBreak/>
        <w:drawing>
          <wp:inline distT="0" distB="0" distL="0" distR="0" wp14:anchorId="19A6A4CA" wp14:editId="024FD420">
            <wp:extent cx="6530340" cy="8665210"/>
            <wp:effectExtent l="0" t="0" r="3810" b="2540"/>
            <wp:docPr id="1607193949"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30340" cy="8665210"/>
                    </a:xfrm>
                    <a:prstGeom prst="rect">
                      <a:avLst/>
                    </a:prstGeom>
                    <a:noFill/>
                    <a:ln>
                      <a:noFill/>
                    </a:ln>
                  </pic:spPr>
                </pic:pic>
              </a:graphicData>
            </a:graphic>
          </wp:inline>
        </w:drawing>
      </w:r>
    </w:p>
    <w:p w14:paraId="16BC8B39" w14:textId="2B8B4F3B" w:rsidR="00637FA7" w:rsidRDefault="00637FA7" w:rsidP="00637FA7">
      <w:pPr>
        <w:ind w:left="-567" w:right="-426"/>
      </w:pPr>
      <w:r w:rsidRPr="00637FA7">
        <w:rPr>
          <w:noProof/>
        </w:rPr>
        <w:lastRenderedPageBreak/>
        <w:drawing>
          <wp:inline distT="0" distB="0" distL="0" distR="0" wp14:anchorId="185FBCCB" wp14:editId="0D3786F1">
            <wp:extent cx="6492240" cy="8547735"/>
            <wp:effectExtent l="0" t="0" r="3810" b="5715"/>
            <wp:docPr id="487134530"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2240" cy="8547735"/>
                    </a:xfrm>
                    <a:prstGeom prst="rect">
                      <a:avLst/>
                    </a:prstGeom>
                    <a:noFill/>
                    <a:ln>
                      <a:noFill/>
                    </a:ln>
                  </pic:spPr>
                </pic:pic>
              </a:graphicData>
            </a:graphic>
          </wp:inline>
        </w:drawing>
      </w:r>
    </w:p>
    <w:p w14:paraId="241B9DFE" w14:textId="77777777" w:rsidR="00637FA7" w:rsidRDefault="00637FA7" w:rsidP="00637FA7">
      <w:pPr>
        <w:ind w:left="-567" w:right="-426"/>
      </w:pPr>
    </w:p>
    <w:p w14:paraId="662387E9" w14:textId="7FD67DAA" w:rsidR="00637FA7" w:rsidRDefault="00637FA7" w:rsidP="00637FA7">
      <w:pPr>
        <w:ind w:left="-567" w:right="-426"/>
      </w:pPr>
      <w:r w:rsidRPr="00637FA7">
        <w:rPr>
          <w:noProof/>
        </w:rPr>
        <w:lastRenderedPageBreak/>
        <w:drawing>
          <wp:inline distT="0" distB="0" distL="0" distR="0" wp14:anchorId="526EA54C" wp14:editId="749B843D">
            <wp:extent cx="6454140" cy="8654415"/>
            <wp:effectExtent l="0" t="0" r="3810" b="0"/>
            <wp:docPr id="1106299491"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4140" cy="8654415"/>
                    </a:xfrm>
                    <a:prstGeom prst="rect">
                      <a:avLst/>
                    </a:prstGeom>
                    <a:noFill/>
                    <a:ln>
                      <a:noFill/>
                    </a:ln>
                  </pic:spPr>
                </pic:pic>
              </a:graphicData>
            </a:graphic>
          </wp:inline>
        </w:drawing>
      </w:r>
    </w:p>
    <w:p w14:paraId="3935EFD3" w14:textId="22A04AD2" w:rsidR="00637FA7" w:rsidRDefault="00637FA7" w:rsidP="00637FA7">
      <w:pPr>
        <w:ind w:left="-567" w:right="-426"/>
      </w:pPr>
      <w:r w:rsidRPr="00637FA7">
        <w:rPr>
          <w:noProof/>
        </w:rPr>
        <w:lastRenderedPageBreak/>
        <w:drawing>
          <wp:inline distT="0" distB="0" distL="0" distR="0" wp14:anchorId="1D2FCE4C" wp14:editId="68213884">
            <wp:extent cx="6499860" cy="8654415"/>
            <wp:effectExtent l="0" t="0" r="0" b="0"/>
            <wp:docPr id="1771068585"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9860" cy="8654415"/>
                    </a:xfrm>
                    <a:prstGeom prst="rect">
                      <a:avLst/>
                    </a:prstGeom>
                    <a:noFill/>
                    <a:ln>
                      <a:noFill/>
                    </a:ln>
                  </pic:spPr>
                </pic:pic>
              </a:graphicData>
            </a:graphic>
          </wp:inline>
        </w:drawing>
      </w:r>
    </w:p>
    <w:p w14:paraId="48558874" w14:textId="4697DAA3" w:rsidR="00637FA7" w:rsidRDefault="00637FA7" w:rsidP="00637FA7">
      <w:pPr>
        <w:ind w:left="-567" w:right="-426"/>
      </w:pPr>
      <w:r w:rsidRPr="00637FA7">
        <w:rPr>
          <w:noProof/>
        </w:rPr>
        <w:lastRenderedPageBreak/>
        <w:drawing>
          <wp:inline distT="0" distB="0" distL="0" distR="0" wp14:anchorId="639663D0" wp14:editId="2A0695B6">
            <wp:extent cx="6431280" cy="8495030"/>
            <wp:effectExtent l="0" t="0" r="7620" b="1270"/>
            <wp:docPr id="27682333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1280" cy="8495030"/>
                    </a:xfrm>
                    <a:prstGeom prst="rect">
                      <a:avLst/>
                    </a:prstGeom>
                    <a:noFill/>
                    <a:ln>
                      <a:noFill/>
                    </a:ln>
                  </pic:spPr>
                </pic:pic>
              </a:graphicData>
            </a:graphic>
          </wp:inline>
        </w:drawing>
      </w:r>
    </w:p>
    <w:p w14:paraId="72099A01" w14:textId="77777777" w:rsidR="00637FA7" w:rsidRDefault="00637FA7" w:rsidP="00637FA7">
      <w:pPr>
        <w:ind w:left="-567" w:right="-426"/>
      </w:pPr>
    </w:p>
    <w:p w14:paraId="78448455" w14:textId="77777777" w:rsidR="00DC69AA" w:rsidRPr="00DC69AA" w:rsidRDefault="00DC69AA" w:rsidP="00DC69AA">
      <w:pPr>
        <w:pStyle w:val="Balk1"/>
        <w:jc w:val="both"/>
        <w:rPr>
          <w:rFonts w:ascii="Times New Roman" w:hAnsi="Times New Roman" w:cs="Times New Roman"/>
          <w:sz w:val="24"/>
          <w:szCs w:val="24"/>
        </w:rPr>
      </w:pPr>
      <w:r w:rsidRPr="00DC69AA">
        <w:rPr>
          <w:rFonts w:ascii="Times New Roman" w:hAnsi="Times New Roman" w:cs="Times New Roman"/>
          <w:sz w:val="24"/>
          <w:szCs w:val="24"/>
        </w:rPr>
        <w:lastRenderedPageBreak/>
        <w:t>İŞVEREN GERİ BİLDİRİM FORMU DEĞERLENDİRME YORUMU</w:t>
      </w:r>
    </w:p>
    <w:p w14:paraId="0A385181" w14:textId="77777777" w:rsidR="00DC69AA" w:rsidRDefault="00DC69AA" w:rsidP="00DC69AA">
      <w:pPr>
        <w:jc w:val="both"/>
        <w:rPr>
          <w:rFonts w:ascii="Times New Roman" w:hAnsi="Times New Roman" w:cs="Times New Roman"/>
        </w:rPr>
      </w:pPr>
      <w:r w:rsidRPr="00DC69AA">
        <w:rPr>
          <w:rFonts w:ascii="Times New Roman" w:hAnsi="Times New Roman" w:cs="Times New Roman"/>
        </w:rPr>
        <w:br/>
        <w:t>2025–2026 eğitim-öğretim yılı kapsamında gerçekleştirilen İşveren Geri Bildirim Formu sonuçları incelendiğinde ankete toplam 31 kurum temsilcisinin katıldığı görülmektedir. Katılımcı kurumların tamamının özel sektör kuruluşlarından oluştuğu belirlenmiştir. Kurumların büyük bölümü huzurevi, yaşlı bakım merkezi, evde bakım hizmetleri ve sağlık hizmetleri alanlarında faaliyet göstermektedir. Bu durum, elde edilen sonuçların Yaşlı Bakımı ve ilişkili sağlık programlarının sektördeki karşılığını değerlendirmek açısından önemli bir veri sunduğunu göstermektedir.</w:t>
      </w:r>
      <w:r w:rsidRPr="00DC69AA">
        <w:rPr>
          <w:rFonts w:ascii="Times New Roman" w:hAnsi="Times New Roman" w:cs="Times New Roman"/>
        </w:rPr>
        <w:br/>
      </w:r>
      <w:r w:rsidRPr="00DC69AA">
        <w:rPr>
          <w:rFonts w:ascii="Times New Roman" w:hAnsi="Times New Roman" w:cs="Times New Roman"/>
        </w:rPr>
        <w:br/>
        <w:t>Öğrencilerin mesleki bilgi ve teknik yeterliliklerine ilişkin değerlendirmeler incelendiğinde katılımcıların önemli bir bölümünün öğrencileri “iyi” ve “çok iyi” düzeyinde değerlendirdiği görülmektedir. Benzer şekilde hasta ve yaşlı bakımı becerilerinin de olumlu değerlendirildiği anlaşılmaktadır. Bu sonuçlar, öğrencilerin temel mesleki yeterlilik açısından kurum beklentilerini büyük ölçüde karşıladığını göstermektedir. Bununla birlikte orta düzey değerlendirmelerin de bulunması uygulamalı becerilerin güçlendirilmesi gerekliliğine işaret etmektedir.</w:t>
      </w:r>
      <w:r>
        <w:rPr>
          <w:rFonts w:ascii="Times New Roman" w:hAnsi="Times New Roman" w:cs="Times New Roman"/>
        </w:rPr>
        <w:t xml:space="preserve"> </w:t>
      </w:r>
    </w:p>
    <w:p w14:paraId="4F902F6C" w14:textId="77777777" w:rsidR="00DC69AA" w:rsidRDefault="00DC69AA" w:rsidP="00DC69AA">
      <w:pPr>
        <w:jc w:val="both"/>
        <w:rPr>
          <w:rFonts w:ascii="Times New Roman" w:hAnsi="Times New Roman" w:cs="Times New Roman"/>
        </w:rPr>
      </w:pPr>
      <w:r w:rsidRPr="00DC69AA">
        <w:rPr>
          <w:rFonts w:ascii="Times New Roman" w:hAnsi="Times New Roman" w:cs="Times New Roman"/>
        </w:rPr>
        <w:t>İletişim becerileri ve ekip çalışmasına yönelik değerlendirmelerde olumlu görüşlerin ağırlıkta olduğu görülmektedir. Problem çözme ve karar alma becerileri açısından da öğrenciler genel olarak başarılı bulunmuştur. Ancak iş etiği ve profesyonellik değerlendirmelerinde “orta düzey” yanıtlarının diğer alanlara göre daha yüksek olması dikkat çekmektedir. Bu durum öğrencilerin mesleki sorumluluk, disiplin, iş ortamı davranışları ve profesyonel tutum alanlarında desteklenmesine ihtiyaç duyulduğunu düşündürmektedir.</w:t>
      </w:r>
      <w:r>
        <w:rPr>
          <w:rFonts w:ascii="Times New Roman" w:hAnsi="Times New Roman" w:cs="Times New Roman"/>
        </w:rPr>
        <w:t xml:space="preserve"> </w:t>
      </w:r>
    </w:p>
    <w:p w14:paraId="1606744A" w14:textId="77777777" w:rsidR="00DC69AA" w:rsidRDefault="00DC69AA" w:rsidP="00DC69AA">
      <w:pPr>
        <w:jc w:val="both"/>
        <w:rPr>
          <w:rFonts w:ascii="Times New Roman" w:hAnsi="Times New Roman" w:cs="Times New Roman"/>
        </w:rPr>
      </w:pPr>
      <w:r w:rsidRPr="00DC69AA">
        <w:rPr>
          <w:rFonts w:ascii="Times New Roman" w:hAnsi="Times New Roman" w:cs="Times New Roman"/>
        </w:rPr>
        <w:br/>
        <w:t>Öğrencilerin genel çalışma performansına yönelik değerlendirmelerde “başarılı” ve “çok başarılı” görüşlerinin ağırlıklı olduğu görülmektedir. Benzer şekilde çalışma ortamına uyum konusunda da olumlu değerlendirmeler ön plana çıkmaktadır. Bu sonuçlar, öğrencilerin kurum ortamına uyum sağlayabildiğini ve mesleki süreçlere genel olarak adapte olabildiğini göstermektedir.</w:t>
      </w:r>
      <w:r w:rsidRPr="00DC69AA">
        <w:rPr>
          <w:rFonts w:ascii="Times New Roman" w:hAnsi="Times New Roman" w:cs="Times New Roman"/>
        </w:rPr>
        <w:br/>
      </w:r>
      <w:r w:rsidRPr="00DC69AA">
        <w:rPr>
          <w:rFonts w:ascii="Times New Roman" w:hAnsi="Times New Roman" w:cs="Times New Roman"/>
        </w:rPr>
        <w:br/>
        <w:t>Açık uçlu sorular incelendiğinde kurum temsilcileri öğrencilerin özellikle yaşlı bireylerle iletişim becerileri, güler yüzlü yaklaşımları, problem çözme becerileri, eğitmenlerine karşı saygılı tutumları ve yaşlılara yönelik hoşgörülü davranışlarını güçlü yönler olarak belirtmiştir. Ayrıca bazı katılımcılar öğrencilerin teknik bilgi ve mesleki donanım açısından yeterli olduklarını ifade etmiştir.</w:t>
      </w:r>
      <w:r w:rsidRPr="00DC69AA">
        <w:rPr>
          <w:rFonts w:ascii="Times New Roman" w:hAnsi="Times New Roman" w:cs="Times New Roman"/>
        </w:rPr>
        <w:br/>
      </w:r>
      <w:r w:rsidRPr="00DC69AA">
        <w:rPr>
          <w:rFonts w:ascii="Times New Roman" w:hAnsi="Times New Roman" w:cs="Times New Roman"/>
        </w:rPr>
        <w:br/>
        <w:t>Kurum temsilcileri tarafından belirtilen eksiklikler incelendiğinde en sık ifade edilen konuların mesleki etik ve sorumluluk, stres yönetimi, problem çözme becerileri ve iletişim–ekip çalışması alanlarında olduğu görülmektedir. Ayrıca bazı katılımcılar öğrencilerin iş ortamında telefon kullanım alışkanlıklarına dikkat çekmiştir.</w:t>
      </w:r>
      <w:r>
        <w:rPr>
          <w:rFonts w:ascii="Times New Roman" w:hAnsi="Times New Roman" w:cs="Times New Roman"/>
        </w:rPr>
        <w:t xml:space="preserve"> </w:t>
      </w:r>
    </w:p>
    <w:p w14:paraId="4BC09E20" w14:textId="77777777" w:rsidR="00DC69AA" w:rsidRDefault="00DC69AA" w:rsidP="00DC69AA">
      <w:pPr>
        <w:jc w:val="both"/>
        <w:rPr>
          <w:rFonts w:ascii="Times New Roman" w:hAnsi="Times New Roman" w:cs="Times New Roman"/>
        </w:rPr>
      </w:pPr>
      <w:r w:rsidRPr="00DC69AA">
        <w:rPr>
          <w:rFonts w:ascii="Times New Roman" w:hAnsi="Times New Roman" w:cs="Times New Roman"/>
        </w:rPr>
        <w:br/>
        <w:t xml:space="preserve">Program müfredatına yönelik öneriler incelendiğinde hasta ve yaşlı bakım uygulamaları, psikososyal destek ve iletişim becerileri ile evde bakım uygulamalarının geliştirilmesine yönelik </w:t>
      </w:r>
      <w:r w:rsidRPr="00DC69AA">
        <w:rPr>
          <w:rFonts w:ascii="Times New Roman" w:hAnsi="Times New Roman" w:cs="Times New Roman"/>
        </w:rPr>
        <w:lastRenderedPageBreak/>
        <w:t>görüşlerin ön plana çıktığı görülmektedir. Özellikle uygulamaya dayalı eğitim süreçlerinin artırılmasının öğrencilerin mesleki gelişimlerine katkı sağlayabileceği düşünülmektedir.</w:t>
      </w:r>
      <w:r w:rsidRPr="00DC69AA">
        <w:rPr>
          <w:rFonts w:ascii="Times New Roman" w:hAnsi="Times New Roman" w:cs="Times New Roman"/>
        </w:rPr>
        <w:br/>
      </w:r>
      <w:r w:rsidRPr="00DC69AA">
        <w:rPr>
          <w:rFonts w:ascii="Times New Roman" w:hAnsi="Times New Roman" w:cs="Times New Roman"/>
        </w:rPr>
        <w:br/>
        <w:t>Katılımcıların önemli bir bölümü mezunlara yönelik istihdam sağlama veya stajyer kabul etme konusunda olumlu görüş bildirmiştir. Kurumların %43,3’ü doğrudan istihdam sağlayabileceklerini, %56,7’si ise stajyer kabul edebileceklerini ifade etmiştir.</w:t>
      </w:r>
      <w:r w:rsidRPr="00DC69AA">
        <w:rPr>
          <w:rFonts w:ascii="Times New Roman" w:hAnsi="Times New Roman" w:cs="Times New Roman"/>
        </w:rPr>
        <w:br/>
      </w:r>
      <w:r w:rsidRPr="00DC69AA">
        <w:rPr>
          <w:rFonts w:ascii="Times New Roman" w:hAnsi="Times New Roman" w:cs="Times New Roman"/>
        </w:rPr>
        <w:br/>
        <w:t>Genel olarak değerlendirildiğinde işveren geri bildirimleri öğrencilerin teknik bilgi, bakım becerileri ve kişilerarası iletişim alanlarında olumlu bir profile sahip olduğunu göstermektedir. Bununla birlikte mesleki etik, sorumluluk alma, motivasyon, stres yönetimi ve profesyonel davranış alanlarında gelişime ihtiyaç duyulduğu anlaşılmaktadır.</w:t>
      </w:r>
      <w:r>
        <w:rPr>
          <w:rFonts w:ascii="Times New Roman" w:hAnsi="Times New Roman" w:cs="Times New Roman"/>
        </w:rPr>
        <w:t xml:space="preserve"> </w:t>
      </w:r>
    </w:p>
    <w:p w14:paraId="54AD8EF3" w14:textId="77777777" w:rsidR="00DC69AA" w:rsidRDefault="00DC69AA" w:rsidP="00DC69AA">
      <w:pPr>
        <w:jc w:val="both"/>
        <w:rPr>
          <w:rFonts w:ascii="Times New Roman" w:hAnsi="Times New Roman" w:cs="Times New Roman"/>
        </w:rPr>
      </w:pPr>
      <w:r w:rsidRPr="00DC69AA">
        <w:rPr>
          <w:rFonts w:ascii="Times New Roman" w:hAnsi="Times New Roman" w:cs="Times New Roman"/>
        </w:rPr>
        <w:br/>
        <w:t>Sonuç olarak eğitim sürecinde uygulamalı derslerin artırılması, mesleki etik ve profesyonellik eğitimlerinin güçlendirilmesi, öğrencilerin mesleki motivasyonlarını artıracak etkinliklerin düzenlenmesi ve kurum–üniversite iş birliklerinin sürdürülmesi öğrenci yeterliliklerinin daha da geliştirilmesine katkı sağlayacaktır.</w:t>
      </w:r>
      <w:r>
        <w:rPr>
          <w:rFonts w:ascii="Times New Roman" w:hAnsi="Times New Roman" w:cs="Times New Roman"/>
        </w:rPr>
        <w:t xml:space="preserve"> </w:t>
      </w:r>
    </w:p>
    <w:p w14:paraId="77959C06" w14:textId="63948B36" w:rsidR="00DC69AA" w:rsidRPr="00DC69AA" w:rsidRDefault="00DC69AA" w:rsidP="00DC69AA">
      <w:pPr>
        <w:jc w:val="both"/>
        <w:rPr>
          <w:rFonts w:ascii="Times New Roman" w:hAnsi="Times New Roman" w:cs="Times New Roman"/>
        </w:rPr>
      </w:pPr>
      <w:r w:rsidRPr="00DC69AA">
        <w:rPr>
          <w:rFonts w:ascii="Times New Roman" w:hAnsi="Times New Roman" w:cs="Times New Roman"/>
        </w:rPr>
        <w:br/>
      </w:r>
    </w:p>
    <w:p w14:paraId="653CED4A" w14:textId="77777777" w:rsidR="00637FA7" w:rsidRPr="00DC69AA" w:rsidRDefault="00637FA7" w:rsidP="00DC69AA">
      <w:pPr>
        <w:ind w:left="-567" w:right="-426"/>
        <w:jc w:val="both"/>
        <w:rPr>
          <w:rFonts w:ascii="Times New Roman" w:hAnsi="Times New Roman" w:cs="Times New Roman"/>
        </w:rPr>
      </w:pPr>
    </w:p>
    <w:p w14:paraId="53B1DA79" w14:textId="77777777" w:rsidR="00637FA7" w:rsidRDefault="00637FA7" w:rsidP="00637FA7">
      <w:pPr>
        <w:ind w:left="-567" w:right="-426"/>
      </w:pPr>
    </w:p>
    <w:sectPr w:rsidR="00637FA7" w:rsidSect="00637FA7">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A7"/>
    <w:rsid w:val="00637FA7"/>
    <w:rsid w:val="00AE5E77"/>
    <w:rsid w:val="00DC69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7FD2"/>
  <w15:chartTrackingRefBased/>
  <w15:docId w15:val="{78D5F6F0-3DE9-40F9-8898-33B22FFB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37F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37F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37FA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37FA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37FA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37FA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37FA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37FA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37FA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37FA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37FA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37FA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37FA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37FA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37FA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37FA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37FA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37FA7"/>
    <w:rPr>
      <w:rFonts w:eastAsiaTheme="majorEastAsia" w:cstheme="majorBidi"/>
      <w:color w:val="272727" w:themeColor="text1" w:themeTint="D8"/>
    </w:rPr>
  </w:style>
  <w:style w:type="paragraph" w:styleId="KonuBal">
    <w:name w:val="Title"/>
    <w:basedOn w:val="Normal"/>
    <w:next w:val="Normal"/>
    <w:link w:val="KonuBalChar"/>
    <w:uiPriority w:val="10"/>
    <w:qFormat/>
    <w:rsid w:val="00637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37FA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37FA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37FA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37FA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37FA7"/>
    <w:rPr>
      <w:i/>
      <w:iCs/>
      <w:color w:val="404040" w:themeColor="text1" w:themeTint="BF"/>
    </w:rPr>
  </w:style>
  <w:style w:type="paragraph" w:styleId="ListeParagraf">
    <w:name w:val="List Paragraph"/>
    <w:basedOn w:val="Normal"/>
    <w:uiPriority w:val="34"/>
    <w:qFormat/>
    <w:rsid w:val="00637FA7"/>
    <w:pPr>
      <w:ind w:left="720"/>
      <w:contextualSpacing/>
    </w:pPr>
  </w:style>
  <w:style w:type="character" w:styleId="GlVurgulama">
    <w:name w:val="Intense Emphasis"/>
    <w:basedOn w:val="VarsaylanParagrafYazTipi"/>
    <w:uiPriority w:val="21"/>
    <w:qFormat/>
    <w:rsid w:val="00637FA7"/>
    <w:rPr>
      <w:i/>
      <w:iCs/>
      <w:color w:val="2F5496" w:themeColor="accent1" w:themeShade="BF"/>
    </w:rPr>
  </w:style>
  <w:style w:type="paragraph" w:styleId="GlAlnt">
    <w:name w:val="Intense Quote"/>
    <w:basedOn w:val="Normal"/>
    <w:next w:val="Normal"/>
    <w:link w:val="GlAlntChar"/>
    <w:uiPriority w:val="30"/>
    <w:qFormat/>
    <w:rsid w:val="00637F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37FA7"/>
    <w:rPr>
      <w:i/>
      <w:iCs/>
      <w:color w:val="2F5496" w:themeColor="accent1" w:themeShade="BF"/>
    </w:rPr>
  </w:style>
  <w:style w:type="character" w:styleId="GlBavuru">
    <w:name w:val="Intense Reference"/>
    <w:basedOn w:val="VarsaylanParagrafYazTipi"/>
    <w:uiPriority w:val="32"/>
    <w:qFormat/>
    <w:rsid w:val="00637FA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611</Words>
  <Characters>3488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Saniye Seda Sevim</dc:creator>
  <cp:keywords/>
  <dc:description/>
  <cp:lastModifiedBy>Saniye Seda Sevim</cp:lastModifiedBy>
  <cp:revision>1</cp:revision>
  <dcterms:created xsi:type="dcterms:W3CDTF">2026-05-18T07:29:00Z</dcterms:created>
  <dcterms:modified xsi:type="dcterms:W3CDTF">2026-05-18T07:46:00Z</dcterms:modified>
</cp:coreProperties>
</file>