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95" w:type="dxa"/>
        <w:tblInd w:w="-289" w:type="dxa"/>
        <w:tblLook w:val="04A0" w:firstRow="1" w:lastRow="0" w:firstColumn="1" w:lastColumn="0" w:noHBand="0" w:noVBand="1"/>
      </w:tblPr>
      <w:tblGrid>
        <w:gridCol w:w="9895"/>
      </w:tblGrid>
      <w:tr w:rsidR="001D3C65" w:rsidRPr="00A531EB" w:rsidTr="00A9375D">
        <w:trPr>
          <w:trHeight w:val="12266"/>
        </w:trPr>
        <w:tc>
          <w:tcPr>
            <w:tcW w:w="9895" w:type="dxa"/>
          </w:tcPr>
          <w:p w:rsidR="00A9375D" w:rsidRPr="00A531EB" w:rsidRDefault="00A9375D" w:rsidP="00A93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BİRİNCİ BÖLÜM</w:t>
            </w:r>
          </w:p>
          <w:p w:rsidR="00A9375D" w:rsidRPr="00A531EB" w:rsidRDefault="00A9375D" w:rsidP="00A93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Amaç, Kapsam, Dayanak ve Tanımlar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Amaç 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1-</w:t>
            </w:r>
            <w:r w:rsidRPr="00A531EB">
              <w:rPr>
                <w:rFonts w:ascii="Times New Roman" w:hAnsi="Times New Roman" w:cs="Times New Roman"/>
                <w:sz w:val="24"/>
                <w:szCs w:val="24"/>
              </w:rPr>
              <w:t xml:space="preserve">Aydın Adnan Menderes Üniversitesi Söke Sağlık Hizmetleri Meslek Yüksekokulunun </w:t>
            </w:r>
            <w:proofErr w:type="gramStart"/>
            <w:r w:rsidRPr="00A531EB">
              <w:rPr>
                <w:rFonts w:ascii="Times New Roman" w:hAnsi="Times New Roman" w:cs="Times New Roman"/>
                <w:sz w:val="24"/>
                <w:szCs w:val="24"/>
              </w:rPr>
              <w:t>vizyonu</w:t>
            </w:r>
            <w:proofErr w:type="gramEnd"/>
            <w:r w:rsidRPr="00A531EB">
              <w:rPr>
                <w:rFonts w:ascii="Times New Roman" w:hAnsi="Times New Roman" w:cs="Times New Roman"/>
                <w:sz w:val="24"/>
                <w:szCs w:val="24"/>
              </w:rPr>
              <w:t xml:space="preserve"> ve misyonu doğrultusunda belirlenen amaç ve ilkeler çerçevesinde yürütülen; öğrencilerin ilgili birimlere yönlendirilmesine ilişkin akademik danışmanlık hizmetlerinin usul ve esaslarını düzenlemektir.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Kapsam 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Madde 2- </w:t>
            </w:r>
            <w:r w:rsidRPr="00A531EB">
              <w:rPr>
                <w:rFonts w:ascii="Times New Roman" w:hAnsi="Times New Roman" w:cs="Times New Roman"/>
                <w:sz w:val="24"/>
                <w:szCs w:val="24"/>
              </w:rPr>
              <w:t>Bu usul ve esaslar; yüksekokulumuzda kayıtlı öğrenciler ile akademik danışman olarak görevlendirilen öğretim elemanlarını ve akademik danışmanlık kapsamında yürütülecek iş ve işlemleri kapsamaktadır.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Dayanak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3-</w:t>
            </w:r>
            <w:r w:rsidRPr="00A531EB">
              <w:rPr>
                <w:rFonts w:ascii="Times New Roman" w:hAnsi="Times New Roman" w:cs="Times New Roman"/>
                <w:sz w:val="24"/>
                <w:szCs w:val="24"/>
              </w:rPr>
              <w:t xml:space="preserve">Bu esaslar ve ilkeler 2547 sayılı Yükseköğretim Kanunu’nun 22. madde c fıkrası ile 47. Maddesi ve Aydın Adnan Menderes Üniversitesi </w:t>
            </w:r>
            <w:proofErr w:type="spellStart"/>
            <w:r w:rsidRPr="00A531EB"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 w:rsidRPr="00A531EB">
              <w:rPr>
                <w:rFonts w:ascii="Times New Roman" w:hAnsi="Times New Roman" w:cs="Times New Roman"/>
                <w:sz w:val="24"/>
                <w:szCs w:val="24"/>
              </w:rPr>
              <w:t xml:space="preserve">-Lisans Eğitim Öğretim Yönetmeliği 14. Madde ve Aydın Adnan Menderes Üniversitesi öğrenci danışmanlığı yönergesi uyarınca hazırlanmıştır.  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Tanım</w:t>
            </w:r>
          </w:p>
          <w:p w:rsidR="00A9375D" w:rsidRPr="00A531EB" w:rsidRDefault="00A9375D" w:rsidP="00A93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4-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b/>
                <w:bCs/>
                <w:sz w:val="24"/>
                <w:szCs w:val="24"/>
              </w:rPr>
              <w:t>Üniversite:</w:t>
            </w:r>
            <w:r w:rsidRPr="00A531EB">
              <w:rPr>
                <w:sz w:val="24"/>
                <w:szCs w:val="24"/>
              </w:rPr>
              <w:t xml:space="preserve"> Aydın Adnan Menderes Üniversitesini,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b/>
                <w:bCs/>
                <w:sz w:val="24"/>
                <w:szCs w:val="24"/>
              </w:rPr>
              <w:t>Birim:</w:t>
            </w:r>
            <w:r w:rsidRPr="00A531EB">
              <w:rPr>
                <w:sz w:val="24"/>
                <w:szCs w:val="24"/>
              </w:rPr>
              <w:t xml:space="preserve"> Söke Sağlık Hizmetleri Meslek Yüksekokulu 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b/>
                <w:bCs/>
                <w:sz w:val="24"/>
                <w:szCs w:val="24"/>
              </w:rPr>
              <w:t>Bölüm/Program:</w:t>
            </w:r>
            <w:r w:rsidRPr="00A531EB">
              <w:rPr>
                <w:sz w:val="24"/>
                <w:szCs w:val="24"/>
              </w:rPr>
              <w:t xml:space="preserve"> İlgili akademik birim altındaki bölüm/programı,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b/>
                <w:bCs/>
                <w:sz w:val="24"/>
                <w:szCs w:val="24"/>
              </w:rPr>
              <w:t>Danışman:</w:t>
            </w:r>
            <w:r w:rsidRPr="00A531EB">
              <w:rPr>
                <w:sz w:val="24"/>
                <w:szCs w:val="24"/>
              </w:rPr>
              <w:t xml:space="preserve"> Öğrencilere akademik danışmanlık yapmak üzere görevlendirilen öğretim elemanını,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b/>
                <w:bCs/>
                <w:sz w:val="24"/>
                <w:szCs w:val="24"/>
              </w:rPr>
              <w:t>OBİS:</w:t>
            </w:r>
            <w:r w:rsidRPr="00A531EB">
              <w:rPr>
                <w:sz w:val="24"/>
                <w:szCs w:val="24"/>
              </w:rPr>
              <w:t xml:space="preserve"> Üniversite Bilgi Sistemi/Öğrenci Bilgi Sistemini,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b/>
                <w:bCs/>
                <w:sz w:val="24"/>
                <w:szCs w:val="24"/>
              </w:rPr>
              <w:t>EBYS:</w:t>
            </w:r>
            <w:r w:rsidRPr="00A531EB">
              <w:rPr>
                <w:sz w:val="24"/>
                <w:szCs w:val="24"/>
              </w:rPr>
              <w:t xml:space="preserve"> Elektronik Belge Yönetim Sistemini,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b/>
                <w:bCs/>
                <w:sz w:val="24"/>
                <w:szCs w:val="24"/>
              </w:rPr>
              <w:t>Öğrenci:</w:t>
            </w:r>
            <w:r w:rsidRPr="00A531EB">
              <w:rPr>
                <w:sz w:val="24"/>
                <w:szCs w:val="24"/>
              </w:rPr>
              <w:t xml:space="preserve"> Üniversiteye kayıtlı ön lisans öğrencisini ifade eder.</w:t>
            </w:r>
          </w:p>
          <w:p w:rsidR="00A9375D" w:rsidRPr="00A531EB" w:rsidRDefault="00A9375D" w:rsidP="00A93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A9375D" w:rsidRPr="00A531EB" w:rsidRDefault="00A9375D" w:rsidP="00A93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İKİNCİ BÖLÜM</w:t>
            </w:r>
          </w:p>
          <w:p w:rsidR="00A9375D" w:rsidRPr="00A531EB" w:rsidRDefault="00A9375D" w:rsidP="00A937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 Danışman Görevlendirilmesi ve İletişim Sağlanması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 Danışman Görevlendirilmesi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5 -</w:t>
            </w:r>
            <w:r w:rsidRPr="00A531EB">
              <w:rPr>
                <w:rFonts w:ascii="Times New Roman" w:hAnsi="Times New Roman" w:cs="Times New Roman"/>
                <w:sz w:val="24"/>
                <w:szCs w:val="24"/>
              </w:rPr>
              <w:t>(1)Akademik Danışman Görevlendirilmesi;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sz w:val="24"/>
                <w:szCs w:val="24"/>
              </w:rPr>
              <w:t>Üniversiteye</w:t>
            </w:r>
            <w:r w:rsidR="0065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EB">
              <w:rPr>
                <w:rFonts w:ascii="Times New Roman" w:hAnsi="Times New Roman" w:cs="Times New Roman"/>
                <w:sz w:val="24"/>
                <w:szCs w:val="24"/>
              </w:rPr>
              <w:t>kayıt yaptıran tüm öğrenciler için her eğitim ve öğretim yılı başında yönetim kurulu kararıyla</w:t>
            </w:r>
            <w:r w:rsidR="0065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531EB">
              <w:rPr>
                <w:rFonts w:ascii="Times New Roman" w:hAnsi="Times New Roman" w:cs="Times New Roman"/>
                <w:sz w:val="24"/>
                <w:szCs w:val="24"/>
              </w:rPr>
              <w:t>ilgili birim tarafından belirlenen usul ve esaslar çerçevesinde danışman görevlendirilir. Danışmanın geçici veya sürekli olarak Üniversiteden ilişiğinin kesilmesi durumunda yeni bir danışman görevlendirilir. Zorunlu haller olmadıkça, öğrencinin danışmanı değiştirilmez.</w:t>
            </w:r>
            <w:r w:rsidR="0065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EB">
              <w:rPr>
                <w:rFonts w:ascii="Times New Roman" w:hAnsi="Times New Roman" w:cs="Times New Roman"/>
                <w:sz w:val="24"/>
                <w:szCs w:val="24"/>
              </w:rPr>
              <w:t xml:space="preserve">Öğrenci ve danışmanlara ait bilgiler </w:t>
            </w:r>
            <w:proofErr w:type="spellStart"/>
            <w:r w:rsidRPr="00A531EB">
              <w:rPr>
                <w:rFonts w:ascii="Times New Roman" w:hAnsi="Times New Roman" w:cs="Times New Roman"/>
                <w:sz w:val="24"/>
                <w:szCs w:val="24"/>
              </w:rPr>
              <w:t>OBİS’te</w:t>
            </w:r>
            <w:proofErr w:type="spellEnd"/>
            <w:r w:rsidRPr="00A531EB">
              <w:rPr>
                <w:rFonts w:ascii="Times New Roman" w:hAnsi="Times New Roman" w:cs="Times New Roman"/>
                <w:sz w:val="24"/>
                <w:szCs w:val="24"/>
              </w:rPr>
              <w:t xml:space="preserve"> yer alır. Danışman, sorumlu olduğu öğrenci listesini OBİS üzerinden alır.</w:t>
            </w:r>
            <w:r w:rsidR="0065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EB">
              <w:rPr>
                <w:rFonts w:ascii="Times New Roman" w:hAnsi="Times New Roman" w:cs="Times New Roman"/>
                <w:sz w:val="24"/>
                <w:szCs w:val="24"/>
              </w:rPr>
              <w:t>Danışmanın görevi öğrencinin Üniversite ile ilişiği kesilene kadar devam eder.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Danışmanlık görüşmeleri ve iletişim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6–</w:t>
            </w:r>
            <w:r w:rsidRPr="00A531EB">
              <w:rPr>
                <w:rFonts w:ascii="Times New Roman" w:hAnsi="Times New Roman" w:cs="Times New Roman"/>
                <w:sz w:val="24"/>
                <w:szCs w:val="24"/>
              </w:rPr>
              <w:t>(1) Akademik Danışmanlık görüşmeleri şu esaslar doğrultusunda gerçekleştirilir;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Danışman; güz ve bahar yarıyıllarında öğrencilerle düzenli aralıklarla bireysel ve/veya grup danışmanlık görüşmeleri yapar.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Danışman, her yarıyıl başında danışmanı olduğu öğrencilerle toplu bilgilendirme toplantısı yapar ve toplantıya ilişkin tutanağı düzenleyerek bölüm başkanlığına iletir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Danışman, öğrencilerin kendisiyle kolay iletişim kurabilmesi amacıyla haftada en az iki ders saatini danışmanlığa ayırır, ilan eder ve belirlenen zaman diliminde erişilebilir olur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lastRenderedPageBreak/>
              <w:t xml:space="preserve">Danışman belirlediği gün ve saatleri öğrencilere </w:t>
            </w:r>
            <w:proofErr w:type="spellStart"/>
            <w:r w:rsidRPr="00A531EB">
              <w:rPr>
                <w:sz w:val="24"/>
                <w:szCs w:val="24"/>
              </w:rPr>
              <w:t>obis</w:t>
            </w:r>
            <w:proofErr w:type="spellEnd"/>
            <w:r w:rsidR="006529A7">
              <w:rPr>
                <w:sz w:val="24"/>
                <w:szCs w:val="24"/>
              </w:rPr>
              <w:t xml:space="preserve"> </w:t>
            </w:r>
            <w:r w:rsidRPr="00A531EB">
              <w:rPr>
                <w:sz w:val="24"/>
                <w:szCs w:val="24"/>
              </w:rPr>
              <w:t>mesajı</w:t>
            </w:r>
            <w:r w:rsidR="006529A7">
              <w:rPr>
                <w:sz w:val="24"/>
                <w:szCs w:val="24"/>
              </w:rPr>
              <w:t xml:space="preserve"> </w:t>
            </w:r>
            <w:r w:rsidRPr="00A531EB">
              <w:rPr>
                <w:sz w:val="24"/>
                <w:szCs w:val="24"/>
              </w:rPr>
              <w:t>veya e-mail yolu ile duyurur, yüksekokulumuz web sayfasından ilan edilir.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Yüksekokulumuz akademik danışman listesi görüşme gün ve saatleri ile e</w:t>
            </w:r>
            <w:r w:rsidR="006529A7">
              <w:rPr>
                <w:sz w:val="24"/>
                <w:szCs w:val="24"/>
              </w:rPr>
              <w:t>-</w:t>
            </w:r>
            <w:r w:rsidRPr="00A531EB">
              <w:rPr>
                <w:sz w:val="24"/>
                <w:szCs w:val="24"/>
              </w:rPr>
              <w:t xml:space="preserve">mail adreslerini içeren bilgiler bölüm başkanlıkları tarafından web de ilan edilir. 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Ders kayıt dönemlerinde gerçekleştirilen danışmanlık toplantılarına ilişkin tutanaklar düzenlenerek EBYS üzerinden bölüm başkanlığına/birim amirliğine iletilir.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 xml:space="preserve">Danışman bireysel danışmanlık verdiği öğrenci için “Bireysel Görüşme Formunu” doldurur ve arşivler. </w:t>
            </w:r>
          </w:p>
          <w:p w:rsidR="00A9375D" w:rsidRPr="00A531EB" w:rsidRDefault="00A9375D" w:rsidP="00A93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A9375D" w:rsidRPr="00A531EB" w:rsidRDefault="00A9375D" w:rsidP="00A93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ÜÇÜNCÜ BÖLÜM</w:t>
            </w:r>
          </w:p>
          <w:p w:rsidR="00A9375D" w:rsidRPr="00A531EB" w:rsidRDefault="00A9375D" w:rsidP="00A937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 Danışmanın Görev, Yetki ve Sorumlulukları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Bilgilendirme ve Rehberlik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7–</w:t>
            </w:r>
            <w:r w:rsidRPr="00A531EB">
              <w:rPr>
                <w:rFonts w:ascii="Times New Roman" w:hAnsi="Times New Roman" w:cs="Times New Roman"/>
                <w:sz w:val="24"/>
                <w:szCs w:val="24"/>
              </w:rPr>
              <w:t>(1) Bilgilendirme ve rehberlik;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Danışman; akademik danışmanlığın kapsamını, danışmanın görev, yetki ve sorumluluklarını öğrencilere açıklar.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Öğrenciyi; birim hizmetleri, öğrenci işleri, kütüphane, psikolojik danışma ve rehberlik birimi, sosyal kulüpler ve öğrenci toplulukları hakkında bilgilendirir.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 xml:space="preserve">Öğrencilere yatay/dikey geçiş, çift </w:t>
            </w:r>
            <w:proofErr w:type="spellStart"/>
            <w:r w:rsidRPr="00A531EB">
              <w:rPr>
                <w:sz w:val="24"/>
                <w:szCs w:val="24"/>
              </w:rPr>
              <w:t>anadal</w:t>
            </w:r>
            <w:proofErr w:type="spellEnd"/>
            <w:r w:rsidRPr="00A531EB">
              <w:rPr>
                <w:sz w:val="24"/>
                <w:szCs w:val="24"/>
              </w:rPr>
              <w:t xml:space="preserve">, </w:t>
            </w:r>
            <w:proofErr w:type="spellStart"/>
            <w:r w:rsidRPr="00A531EB">
              <w:rPr>
                <w:sz w:val="24"/>
                <w:szCs w:val="24"/>
              </w:rPr>
              <w:t>yandal</w:t>
            </w:r>
            <w:proofErr w:type="spellEnd"/>
            <w:r w:rsidRPr="00A531EB">
              <w:rPr>
                <w:sz w:val="24"/>
                <w:szCs w:val="24"/>
              </w:rPr>
              <w:t xml:space="preserve"> ve benzeri süreçlere ilişkin genel bilgilendirme yapar ve ilgili kaynaklara yönlendirir.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 xml:space="preserve">Danışman yeni kayıtlanan öğrencilere eğitim-öğretim döneminin başında bilgilendirme toplantısı yapar. Toplantı tutanağını bölüm başkanına iletir. 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Kayıt, Ders Seçimi ve Akademik Planlama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8 - (</w:t>
            </w:r>
            <w:r w:rsidRPr="00A531EB">
              <w:rPr>
                <w:rFonts w:ascii="Times New Roman" w:hAnsi="Times New Roman" w:cs="Times New Roman"/>
                <w:sz w:val="24"/>
                <w:szCs w:val="24"/>
              </w:rPr>
              <w:t xml:space="preserve">1) Ders kayıt, ders seçimi ve akademik planlama; 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Yeni kayıtlanan öğrencilerin akademik danışmanları ders kayıt dönemi başlamadan ders kayıt rehberi hazırlar ve yüksekokulumuzu web sayfasından duyurur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Danışman; öğrencinin ders kayıtlarını izler, ders seçimi, ön koşullar, zorunlu/seçmeli ders tercihleri ve akademik planlama konularında rehberlik eder.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Ders kayıt, ders seçme, kayıt yenileme, ders ekleme-silme süreçlerinde öğrenciyi bilgilendirir; öğrencinin seçtiği dersleri kontrol eder ve uygun bulunan dersleri OBİS üzerinden onaylar.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Öğrenciyi, kayıtlı olduğu programın öğretim planı, zorunlu/seçmeli dersleri ve mezuniyet koşulları hakkında bilgilendirir.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10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Tekrar alması gereken ders/dersleri bulunan öğrencinin ilgili derslere kayıt yaptırıp yaptırmadığını kontrol eder</w:t>
            </w:r>
            <w:r w:rsidRPr="00A531EB">
              <w:rPr>
                <w:b/>
                <w:bCs/>
                <w:sz w:val="24"/>
                <w:szCs w:val="24"/>
              </w:rPr>
              <w:t>.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ve Risk Yönetimi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9–</w:t>
            </w:r>
            <w:r w:rsidRPr="00A531EB">
              <w:rPr>
                <w:rFonts w:ascii="Times New Roman" w:hAnsi="Times New Roman" w:cs="Times New Roman"/>
                <w:sz w:val="24"/>
                <w:szCs w:val="24"/>
              </w:rPr>
              <w:t>(1) Başarı ve risk yönetimi;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Devamsızlık, başarısızlık, ders tekrarı, sınav başarısızlığı ve benzeri durumlarda öğrenciyi bilgilendirir; yarıyıl/yıl kaybını önlemeye yönelik yönlendirme yapar.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Öğrencinin mezuniyet koşullarını zamanında sağlayabilmesi amacıyla gerekli akademik planlamayı yapmasına destek olur.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İntibak, muafiyet ve mevzuat takibi 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10-</w:t>
            </w:r>
            <w:r w:rsidRPr="00A531EB">
              <w:rPr>
                <w:rFonts w:ascii="Times New Roman" w:hAnsi="Times New Roman" w:cs="Times New Roman"/>
                <w:sz w:val="24"/>
                <w:szCs w:val="24"/>
              </w:rPr>
              <w:t xml:space="preserve"> (1) İntibak, muafiyet ve mevzuat takibi;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Danışman; intibak işlemleri, ders eşdeğerliği ve muafiyet gibi akademik konularda öğrenciye rehberlik eder ve süreçlerin mevzuata uygun yürütülmesine katkı sağlar.</w:t>
            </w:r>
          </w:p>
          <w:p w:rsidR="00A9375D" w:rsidRPr="00A531EB" w:rsidRDefault="00A9375D" w:rsidP="00A9375D">
            <w:pPr>
              <w:pStyle w:val="ListeParagraf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Eğitim-öğretime ilişkin güncel mevzuatı ve değişiklikleri takip eder; öğrencileri hak, yükümlülük ve izlemeleri gereken süreçler hakkında bilgilendirir.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Mezuniyet İşlemleri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Madde 11- </w:t>
            </w:r>
            <w:r w:rsidRPr="00A531EB">
              <w:rPr>
                <w:rFonts w:ascii="Times New Roman" w:hAnsi="Times New Roman" w:cs="Times New Roman"/>
                <w:sz w:val="24"/>
                <w:szCs w:val="24"/>
              </w:rPr>
              <w:t>(1)Mezuniyet işlemleri;</w:t>
            </w:r>
          </w:p>
          <w:p w:rsidR="00A9375D" w:rsidRPr="00A531EB" w:rsidRDefault="00A9375D" w:rsidP="00A9375D">
            <w:pPr>
              <w:pStyle w:val="ListeParagraf"/>
              <w:numPr>
                <w:ilvl w:val="1"/>
                <w:numId w:val="2"/>
              </w:numPr>
              <w:ind w:left="426" w:hanging="284"/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Mezuniyet aşamasına gelen öğrencinin; öğretim planında yer alan tüm zorunlu ve seçmeli dersleri başarıyla tamamladığını, mezuniyet koşullarını sağladığını ve mezuniyetine engel bir durum bulunmadığını kontrol eder.</w:t>
            </w:r>
          </w:p>
          <w:p w:rsidR="00A9375D" w:rsidRPr="00A531EB" w:rsidRDefault="00A9375D" w:rsidP="00A9375D">
            <w:pPr>
              <w:pStyle w:val="ListeParagraf"/>
              <w:numPr>
                <w:ilvl w:val="1"/>
                <w:numId w:val="2"/>
              </w:numPr>
              <w:ind w:left="426" w:hanging="284"/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Danışman, mezuniyet koşullarını sağlayan öğrencinin mezuniyetine OBİS üzerinden onay verir.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Tanıma, Kayıt ve Raporlama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12-</w:t>
            </w:r>
            <w:r w:rsidRPr="00A531EB">
              <w:rPr>
                <w:rFonts w:ascii="Times New Roman" w:hAnsi="Times New Roman" w:cs="Times New Roman"/>
                <w:sz w:val="24"/>
                <w:szCs w:val="24"/>
              </w:rPr>
              <w:t>(1) Öğrenci tanıma, kayıt ve raporlama;</w:t>
            </w:r>
          </w:p>
          <w:p w:rsidR="00A9375D" w:rsidRPr="00A531EB" w:rsidRDefault="00A9375D" w:rsidP="00A9375D">
            <w:pPr>
              <w:pStyle w:val="ListeParagraf"/>
              <w:numPr>
                <w:ilvl w:val="1"/>
                <w:numId w:val="3"/>
              </w:numPr>
              <w:ind w:left="426" w:hanging="284"/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 xml:space="preserve">Danışman; danışmanı olduğu öğrencilerin akademik ve özlük bilgileri ile iletişim bilgileri, ailevi ve ekonomik durum vb. verileri içeren “ÖĞRENCİ BİLGİ İZLEM </w:t>
            </w:r>
            <w:proofErr w:type="spellStart"/>
            <w:r w:rsidRPr="00A531EB">
              <w:rPr>
                <w:sz w:val="24"/>
                <w:szCs w:val="24"/>
              </w:rPr>
              <w:t>FORMU”nu</w:t>
            </w:r>
            <w:proofErr w:type="spellEnd"/>
            <w:r w:rsidRPr="00A531EB">
              <w:rPr>
                <w:sz w:val="24"/>
                <w:szCs w:val="24"/>
              </w:rPr>
              <w:t xml:space="preserve"> OBİS üzerinden görüntüleyerek izler.</w:t>
            </w:r>
          </w:p>
          <w:p w:rsidR="00A9375D" w:rsidRPr="00A531EB" w:rsidRDefault="00A9375D" w:rsidP="00A9375D">
            <w:pPr>
              <w:pStyle w:val="ListeParagraf"/>
              <w:numPr>
                <w:ilvl w:val="1"/>
                <w:numId w:val="3"/>
              </w:numPr>
              <w:ind w:left="426" w:hanging="284"/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Danışmanlık faaliyetlerine ilişkin kayıtları düzenli şekilde tutar ve arşivler.</w:t>
            </w:r>
          </w:p>
          <w:p w:rsidR="00A9375D" w:rsidRPr="00A531EB" w:rsidRDefault="00A9375D" w:rsidP="00A9375D">
            <w:pPr>
              <w:pStyle w:val="ListeParagraf"/>
              <w:numPr>
                <w:ilvl w:val="1"/>
                <w:numId w:val="3"/>
              </w:numPr>
              <w:ind w:left="426" w:hanging="284"/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Danışmanlık faaliyet raporları, belirlenen süreler içinde hazırlanarak bölüm başkanlığına/birim amirliğine sunulur.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Yönlendirme, Destek Birimleri ve Kariyer 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13-</w:t>
            </w:r>
            <w:r w:rsidRPr="00A531EB">
              <w:rPr>
                <w:rFonts w:ascii="Times New Roman" w:hAnsi="Times New Roman" w:cs="Times New Roman"/>
                <w:sz w:val="24"/>
                <w:szCs w:val="24"/>
              </w:rPr>
              <w:t xml:space="preserve"> (1) Yönlendirme, destek birimleri ve kariyer;</w:t>
            </w:r>
          </w:p>
          <w:p w:rsidR="00A9375D" w:rsidRPr="00A531EB" w:rsidRDefault="00A9375D" w:rsidP="00A9375D">
            <w:pPr>
              <w:pStyle w:val="ListeParagraf"/>
              <w:numPr>
                <w:ilvl w:val="1"/>
                <w:numId w:val="4"/>
              </w:numPr>
              <w:tabs>
                <w:tab w:val="left" w:pos="142"/>
              </w:tabs>
              <w:ind w:left="426" w:hanging="284"/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Öğrencilerin psikolojik, sosyal veya ekonomik sorunlarının tespiti hâlinde danışman, öğrenciyi ilgili destek birimlerine yönlendirir; gerekli hâllerde Üniversitenin ilgili birimleri (PDRM vb.) ile koordinasyon sağlar.</w:t>
            </w:r>
          </w:p>
          <w:p w:rsidR="00A9375D" w:rsidRPr="00A531EB" w:rsidRDefault="00A9375D" w:rsidP="00A9375D">
            <w:pPr>
              <w:pStyle w:val="ListeParagraf"/>
              <w:numPr>
                <w:ilvl w:val="1"/>
                <w:numId w:val="4"/>
              </w:numPr>
              <w:tabs>
                <w:tab w:val="left" w:pos="142"/>
              </w:tabs>
              <w:ind w:left="426" w:hanging="284"/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Öğrencilerin staj, uygulama ve değişim programları (</w:t>
            </w:r>
            <w:proofErr w:type="spellStart"/>
            <w:r w:rsidRPr="00A531EB">
              <w:rPr>
                <w:sz w:val="24"/>
                <w:szCs w:val="24"/>
              </w:rPr>
              <w:t>Erasmus</w:t>
            </w:r>
            <w:proofErr w:type="spellEnd"/>
            <w:r w:rsidRPr="00A531EB">
              <w:rPr>
                <w:sz w:val="24"/>
                <w:szCs w:val="24"/>
              </w:rPr>
              <w:t>, Farabi vb.) süreçleri hakkında bilgilendirilmesine ve ilgili kaynaklara yönlendirilmesine yardımcı olur.</w:t>
            </w:r>
          </w:p>
          <w:p w:rsidR="00A9375D" w:rsidRPr="00A531EB" w:rsidRDefault="00A9375D" w:rsidP="00A9375D">
            <w:pPr>
              <w:pStyle w:val="ListeParagraf"/>
              <w:numPr>
                <w:ilvl w:val="1"/>
                <w:numId w:val="4"/>
              </w:numPr>
              <w:tabs>
                <w:tab w:val="left" w:pos="142"/>
              </w:tabs>
              <w:ind w:left="426" w:hanging="284"/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Öğrencinin mesleki yönelimi ve kariyer hedefleri doğrultusunda rehberlik yapar.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İdari Koordinasyon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14- (</w:t>
            </w:r>
            <w:r w:rsidRPr="00A531EB">
              <w:rPr>
                <w:rFonts w:ascii="Times New Roman" w:hAnsi="Times New Roman" w:cs="Times New Roman"/>
                <w:sz w:val="24"/>
                <w:szCs w:val="24"/>
              </w:rPr>
              <w:t>1)İdari koordinasyon;</w:t>
            </w:r>
          </w:p>
          <w:p w:rsidR="00A9375D" w:rsidRPr="00A531EB" w:rsidRDefault="00A9375D" w:rsidP="00A9375D">
            <w:pPr>
              <w:pStyle w:val="ListeParagraf"/>
              <w:numPr>
                <w:ilvl w:val="1"/>
                <w:numId w:val="5"/>
              </w:numPr>
              <w:ind w:left="426" w:hanging="284"/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Danışman; öğrencilerin eğitim sürecinde karşılaştıkları akademik veya idari sorunları gerekli hâllerde ilgili kurul ve birimlerle paylaşır ve çözüm süreçlerine katkı sağlar.</w:t>
            </w:r>
          </w:p>
          <w:p w:rsidR="00A9375D" w:rsidRPr="00A531EB" w:rsidRDefault="00A9375D" w:rsidP="00A9375D">
            <w:pPr>
              <w:pStyle w:val="ListeParagraf"/>
              <w:numPr>
                <w:ilvl w:val="1"/>
                <w:numId w:val="5"/>
              </w:numPr>
              <w:ind w:left="426" w:hanging="284"/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 xml:space="preserve">Yeni kayıt yaptıran öğrencilere yönelik </w:t>
            </w:r>
            <w:proofErr w:type="gramStart"/>
            <w:r w:rsidRPr="00A531EB">
              <w:rPr>
                <w:sz w:val="24"/>
                <w:szCs w:val="24"/>
              </w:rPr>
              <w:t>oryantasyon</w:t>
            </w:r>
            <w:proofErr w:type="gramEnd"/>
            <w:r w:rsidRPr="00A531EB">
              <w:rPr>
                <w:sz w:val="24"/>
                <w:szCs w:val="24"/>
              </w:rPr>
              <w:t xml:space="preserve"> ve bilgilendirme toplantılarının planlanması ve yürütülmesine katkı sağlar.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Etik İlkeler ve Gizlilik 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Madde 15- </w:t>
            </w:r>
            <w:r w:rsidRPr="00A531EB">
              <w:rPr>
                <w:rFonts w:ascii="Times New Roman" w:hAnsi="Times New Roman" w:cs="Times New Roman"/>
                <w:sz w:val="24"/>
                <w:szCs w:val="24"/>
              </w:rPr>
              <w:t>(1) Etik ilkeler ve gizlilik;</w:t>
            </w:r>
          </w:p>
          <w:p w:rsidR="00A9375D" w:rsidRPr="00A531EB" w:rsidRDefault="00A9375D" w:rsidP="00A9375D">
            <w:pPr>
              <w:pStyle w:val="ListeParagraf"/>
              <w:numPr>
                <w:ilvl w:val="1"/>
                <w:numId w:val="6"/>
              </w:numPr>
              <w:ind w:left="426" w:hanging="284"/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Danışmanlık hizmetleri; tarafsızlık, gizlilik, eşitlik ve etik ilkelere uygunluk esasları çerçevesinde yürütülür.</w:t>
            </w:r>
          </w:p>
          <w:p w:rsidR="00A9375D" w:rsidRPr="00A531EB" w:rsidRDefault="00A9375D" w:rsidP="00A9375D">
            <w:pPr>
              <w:pStyle w:val="ListeParagraf"/>
              <w:numPr>
                <w:ilvl w:val="1"/>
                <w:numId w:val="6"/>
              </w:numPr>
              <w:ind w:left="426" w:hanging="284"/>
              <w:jc w:val="both"/>
              <w:rPr>
                <w:sz w:val="24"/>
                <w:szCs w:val="24"/>
              </w:rPr>
            </w:pPr>
            <w:r w:rsidRPr="00A531EB">
              <w:rPr>
                <w:sz w:val="24"/>
                <w:szCs w:val="24"/>
              </w:rPr>
              <w:t>Öğrenciye ilişkin bilgi ve belgeler gizlilik esasına göre muhafaza edilir; mevzuatın izin verdiği hâller dışında üçüncü kişilerle paylaşılmaz.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Değerlendirme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16–(</w:t>
            </w:r>
            <w:r w:rsidRPr="00A531EB">
              <w:rPr>
                <w:rFonts w:ascii="Times New Roman" w:hAnsi="Times New Roman" w:cs="Times New Roman"/>
                <w:sz w:val="24"/>
                <w:szCs w:val="24"/>
              </w:rPr>
              <w:t>1) Değerlendirme;</w:t>
            </w:r>
          </w:p>
          <w:p w:rsidR="00A9375D" w:rsidRPr="00A531EB" w:rsidRDefault="00A9375D" w:rsidP="00A93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sz w:val="24"/>
                <w:szCs w:val="24"/>
              </w:rPr>
              <w:t xml:space="preserve">Akademik Danışmanlık uygulama faaliyetlerinin niteliği, her öğretim yılı sonunda öğrenciler tarafından doldurulan yüksekokulumuza ait </w:t>
            </w:r>
            <w:r w:rsidRPr="001C71FF">
              <w:rPr>
                <w:rFonts w:ascii="Times New Roman" w:hAnsi="Times New Roman" w:cs="Times New Roman"/>
                <w:bCs/>
                <w:sz w:val="24"/>
                <w:szCs w:val="24"/>
              </w:rPr>
              <w:t>Akademik Danışman Değerlendirme Anketi</w:t>
            </w:r>
            <w:r w:rsidRPr="001C71FF">
              <w:rPr>
                <w:rFonts w:ascii="Times New Roman" w:hAnsi="Times New Roman" w:cs="Times New Roman"/>
                <w:sz w:val="24"/>
                <w:szCs w:val="24"/>
              </w:rPr>
              <w:t>’nden</w:t>
            </w:r>
            <w:r w:rsidRPr="00A531EB">
              <w:rPr>
                <w:rFonts w:ascii="Times New Roman" w:hAnsi="Times New Roman" w:cs="Times New Roman"/>
                <w:sz w:val="24"/>
                <w:szCs w:val="24"/>
              </w:rPr>
              <w:t xml:space="preserve"> elde edilen veriler doğrultusunda bölüm başkanlıkları ve müdürlük tarafından değerlendirilir.</w:t>
            </w:r>
          </w:p>
          <w:p w:rsidR="00A9375D" w:rsidRPr="00A531EB" w:rsidRDefault="00A9375D" w:rsidP="00A937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9375D" w:rsidRPr="00A531EB" w:rsidRDefault="00A9375D" w:rsidP="00A93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531E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DÖRDÜNCÜ BÖLÜM</w:t>
            </w:r>
          </w:p>
          <w:p w:rsidR="00A9375D" w:rsidRPr="00A531EB" w:rsidRDefault="00A9375D" w:rsidP="00A9375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531EB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Çeşitli ve Son Hükümler</w:t>
            </w:r>
          </w:p>
          <w:p w:rsidR="00A9375D" w:rsidRPr="00A531EB" w:rsidRDefault="00A9375D" w:rsidP="00A9375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531EB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Hüküm Bulunmayan Hâller</w:t>
            </w:r>
          </w:p>
          <w:p w:rsidR="00A9375D" w:rsidRPr="00A531EB" w:rsidRDefault="00A9375D" w:rsidP="00A9375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531EB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17</w:t>
            </w:r>
            <w:r w:rsidRPr="00A531EB">
              <w:rPr>
                <w:rFonts w:ascii="Times New Roman" w:eastAsia="MS Mincho" w:hAnsi="Times New Roman" w:cs="Times New Roman"/>
                <w:sz w:val="24"/>
                <w:szCs w:val="24"/>
              </w:rPr>
              <w:t>- (1) Bu usul ve esaslarda hüküm bulunmayan hâllerde ilgili mevzuat hükümleri uygulanır.</w:t>
            </w:r>
          </w:p>
          <w:p w:rsidR="00A9375D" w:rsidRPr="00A531EB" w:rsidRDefault="00A9375D" w:rsidP="00A9375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531EB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Yürürlük</w:t>
            </w:r>
          </w:p>
          <w:p w:rsidR="00A9375D" w:rsidRPr="00A531EB" w:rsidRDefault="00A9375D" w:rsidP="00A9375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531EB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18</w:t>
            </w:r>
            <w:r w:rsidRPr="00A531EB">
              <w:rPr>
                <w:rFonts w:ascii="Times New Roman" w:eastAsia="MS Mincho" w:hAnsi="Times New Roman" w:cs="Times New Roman"/>
                <w:sz w:val="24"/>
                <w:szCs w:val="24"/>
              </w:rPr>
              <w:t>- (1) Bu usul ve esaslar, Söke Sağlık Hizmetleri Meslek Yüksekokulu Yönetim Kurulunun onayı ile yürürlüğe girer.</w:t>
            </w:r>
          </w:p>
          <w:p w:rsidR="00A9375D" w:rsidRPr="00A531EB" w:rsidRDefault="00A9375D" w:rsidP="00A9375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531EB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Yürütme</w:t>
            </w:r>
          </w:p>
          <w:p w:rsidR="00A9375D" w:rsidRPr="00A531EB" w:rsidRDefault="00A9375D" w:rsidP="00A9375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531EB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19</w:t>
            </w:r>
            <w:r w:rsidRPr="00A531EB">
              <w:rPr>
                <w:rFonts w:ascii="Times New Roman" w:eastAsia="MS Mincho" w:hAnsi="Times New Roman" w:cs="Times New Roman"/>
                <w:sz w:val="24"/>
                <w:szCs w:val="24"/>
              </w:rPr>
              <w:t>- (1) Bu usul ve esasların hükümlerini Söke Sağlık Hizmetleri Meslek Yüksekokulu Müdürlüğü yürütür.</w:t>
            </w:r>
          </w:p>
          <w:p w:rsidR="00A9375D" w:rsidRPr="00A531EB" w:rsidRDefault="00A9375D" w:rsidP="00A9375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531EB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Değişiklik</w:t>
            </w:r>
          </w:p>
          <w:p w:rsidR="001D3C65" w:rsidRPr="00A531EB" w:rsidRDefault="00A9375D" w:rsidP="00013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1EB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20</w:t>
            </w:r>
            <w:r w:rsidRPr="00A531E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(1) Bu usul ve esaslarda yapılması önerilen değişiklik önerileri Yüksekokul Müdürlüğüne sunulur. </w:t>
            </w:r>
            <w:r w:rsidR="00013E0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Yüksekokul </w:t>
            </w:r>
            <w:r w:rsidRPr="00A531EB">
              <w:rPr>
                <w:rFonts w:ascii="Times New Roman" w:eastAsia="MS Mincho" w:hAnsi="Times New Roman" w:cs="Times New Roman"/>
                <w:sz w:val="24"/>
                <w:szCs w:val="24"/>
              </w:rPr>
              <w:t>Yönetim Kurulu onayı ile yürürlüğe girer.</w:t>
            </w:r>
          </w:p>
        </w:tc>
      </w:tr>
    </w:tbl>
    <w:p w:rsidR="007B0D37" w:rsidRPr="00A531EB" w:rsidRDefault="007B0D37" w:rsidP="00013E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B0D37" w:rsidRPr="00A531EB" w:rsidSect="001D3C65">
      <w:headerReference w:type="first" r:id="rId7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8BB" w:rsidRDefault="002018BB" w:rsidP="001D3C65">
      <w:pPr>
        <w:spacing w:after="0" w:line="240" w:lineRule="auto"/>
      </w:pPr>
      <w:r>
        <w:separator/>
      </w:r>
    </w:p>
  </w:endnote>
  <w:endnote w:type="continuationSeparator" w:id="0">
    <w:p w:rsidR="002018BB" w:rsidRDefault="002018BB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8BB" w:rsidRDefault="002018BB" w:rsidP="001D3C65">
      <w:pPr>
        <w:spacing w:after="0" w:line="240" w:lineRule="auto"/>
      </w:pPr>
      <w:r>
        <w:separator/>
      </w:r>
    </w:p>
  </w:footnote>
  <w:footnote w:type="continuationSeparator" w:id="0">
    <w:p w:rsidR="002018BB" w:rsidRDefault="002018BB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SSH-USE-00001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03.04.2026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A531EB" w:rsidRDefault="00125653" w:rsidP="001D3C65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531E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AKADEMİK DANIŞMANLIK USUL VE ESASLARI </w:t>
          </w:r>
          <w:r w:rsidR="008B69A2" w:rsidRPr="00A531E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92380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47C73"/>
    <w:multiLevelType w:val="hybridMultilevel"/>
    <w:tmpl w:val="3C722F9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3E545A"/>
    <w:multiLevelType w:val="hybridMultilevel"/>
    <w:tmpl w:val="EE0CE02E"/>
    <w:lvl w:ilvl="0" w:tplc="F2949908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36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F40784"/>
    <w:multiLevelType w:val="hybridMultilevel"/>
    <w:tmpl w:val="D676E68C"/>
    <w:lvl w:ilvl="0" w:tplc="1E700016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9742F1"/>
    <w:multiLevelType w:val="hybridMultilevel"/>
    <w:tmpl w:val="D6AC025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0A2C15"/>
    <w:multiLevelType w:val="hybridMultilevel"/>
    <w:tmpl w:val="1BC01B7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322229"/>
    <w:multiLevelType w:val="hybridMultilevel"/>
    <w:tmpl w:val="175C6FD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B5655B"/>
    <w:multiLevelType w:val="hybridMultilevel"/>
    <w:tmpl w:val="96E8BBA2"/>
    <w:lvl w:ilvl="0" w:tplc="D36692F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F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196493"/>
    <w:multiLevelType w:val="hybridMultilevel"/>
    <w:tmpl w:val="E346A366"/>
    <w:lvl w:ilvl="0" w:tplc="29924A3C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F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916E38"/>
    <w:multiLevelType w:val="hybridMultilevel"/>
    <w:tmpl w:val="3A5AF1F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DA6043"/>
    <w:multiLevelType w:val="hybridMultilevel"/>
    <w:tmpl w:val="EC261880"/>
    <w:lvl w:ilvl="0" w:tplc="3084B3F0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D9D3222"/>
    <w:multiLevelType w:val="hybridMultilevel"/>
    <w:tmpl w:val="D0222D80"/>
    <w:lvl w:ilvl="0" w:tplc="E690AA8E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10"/>
  </w:num>
  <w:num w:numId="8">
    <w:abstractNumId w:val="3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09F"/>
    <w:rsid w:val="00013E05"/>
    <w:rsid w:val="000574D2"/>
    <w:rsid w:val="00125653"/>
    <w:rsid w:val="001C71FF"/>
    <w:rsid w:val="001D3C65"/>
    <w:rsid w:val="002018BB"/>
    <w:rsid w:val="004869B8"/>
    <w:rsid w:val="004B609F"/>
    <w:rsid w:val="005A26EC"/>
    <w:rsid w:val="00614538"/>
    <w:rsid w:val="006529A7"/>
    <w:rsid w:val="0067539A"/>
    <w:rsid w:val="006B1FF9"/>
    <w:rsid w:val="007B0D37"/>
    <w:rsid w:val="00804D08"/>
    <w:rsid w:val="008B1422"/>
    <w:rsid w:val="008B69A2"/>
    <w:rsid w:val="0090239A"/>
    <w:rsid w:val="00920969"/>
    <w:rsid w:val="009C37DE"/>
    <w:rsid w:val="00A531EB"/>
    <w:rsid w:val="00A80ABC"/>
    <w:rsid w:val="00A9375D"/>
    <w:rsid w:val="00B50A44"/>
    <w:rsid w:val="00BB4282"/>
    <w:rsid w:val="00BC7D62"/>
    <w:rsid w:val="00BF69F2"/>
    <w:rsid w:val="00C8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3445D"/>
  <w15:docId w15:val="{703B9490-AFF2-4B65-ABB1-017563D8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9375D"/>
    <w:pPr>
      <w:ind w:left="720"/>
      <w:contextualSpacing/>
    </w:pPr>
    <w:rPr>
      <w:rFonts w:ascii="Times New Roman" w:hAnsi="Times New Roman" w:cs="Times New Roman"/>
    </w:rPr>
  </w:style>
  <w:style w:type="paragraph" w:customStyle="1" w:styleId="Default">
    <w:name w:val="Default"/>
    <w:rsid w:val="00A937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Aidata</cp:lastModifiedBy>
  <cp:revision>7</cp:revision>
  <dcterms:created xsi:type="dcterms:W3CDTF">2026-04-02T15:31:00Z</dcterms:created>
  <dcterms:modified xsi:type="dcterms:W3CDTF">2026-04-03T07:45:00Z</dcterms:modified>
</cp:coreProperties>
</file>