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4655A7" w:rsidTr="0059286A">
        <w:trPr>
          <w:trHeight w:val="12266"/>
        </w:trPr>
        <w:tc>
          <w:tcPr>
            <w:tcW w:w="9895" w:type="dxa"/>
          </w:tcPr>
          <w:p w:rsidR="004655A7" w:rsidRPr="004655A7" w:rsidRDefault="004655A7" w:rsidP="004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BİRİNCİ BÖLÜM</w:t>
            </w:r>
          </w:p>
          <w:p w:rsidR="004655A7" w:rsidRPr="004655A7" w:rsidRDefault="004655A7" w:rsidP="00465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Amaç, Kapsam, Dayanak ve Tanımlar</w:t>
            </w:r>
          </w:p>
          <w:p w:rsidR="004655A7" w:rsidRPr="004655A7" w:rsidRDefault="004655A7" w:rsidP="004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1- </w:t>
            </w: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Bu Usul ve Esasların amacı; Meslek Yüksekokulu bünyesinde bağımlılıkla mücadele faaliyetlerinin (önleme, farkındalık, erken müdahale, danışmanlık, yönlendirme, izleme ve sürekli iyileştirme) planlanması, koordinasyonu ve değerlendirilmesine ilişkin Bağımlılıkla Mücadele Koordinatörlüğünün kuruluşu, görevleri ve çalışma usullerini belirlemektir.</w:t>
            </w:r>
          </w:p>
          <w:p w:rsidR="004655A7" w:rsidRPr="004655A7" w:rsidRDefault="004655A7" w:rsidP="004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2- </w:t>
            </w: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Bu Usul ve Esaslar; Meslek Yüksekokulunun tüm eğitim-öğretim programlarında öğrenim gören öğrenciler ile akademik ve idari personeli kapsar. Koordinatörlüğün yürüttüğü önleme, farkındalık, eğitim, danışmanlık ve yönlendirme faaliyetleri; kurum içi işleyiş, paydaş işbirlikleri, veri/rapor yönetimi ve iyileştirme süreçlerine ilişkin hükümleri içerir.</w:t>
            </w:r>
          </w:p>
          <w:p w:rsidR="004655A7" w:rsidRPr="004655A7" w:rsidRDefault="004655A7" w:rsidP="004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Dayanak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Madde 3-</w:t>
            </w: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Bu Usul ve Esaslar; ilgili yükseköğretim mevzuatı, kişisel verilerin korunmasına ilişkin hükümler, rehberlik/danışmanlık ve disiplin süreçlerine ilişkin düzenlemeler ile kurum içi yönerge ve kararlara dayanılarak hazırlanmıştır.</w:t>
            </w:r>
          </w:p>
          <w:p w:rsidR="004655A7" w:rsidRPr="004655A7" w:rsidRDefault="004655A7" w:rsidP="004655A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65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Tanımlar</w:t>
            </w:r>
          </w:p>
          <w:p w:rsidR="004655A7" w:rsidRPr="004655A7" w:rsidRDefault="004655A7" w:rsidP="00465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5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Madde 4</w:t>
            </w: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55A7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4655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Usul ve Esasların uygulanmasında;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Yüksekokul: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Aydın Adnan Menderes Üniversitesi Söke Sağlık Hizmetleri Meslek Yüksekokulunu,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Koordinatörlük: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Söke SHMYO bünyesinde bağımlılıkla mücadele faaliyetlerinin bilgilendirme, yönlendirme, izleme ve kanıt yönetimi boyutlarını yürüten Bağımlılıkla Mücadele Koordinatörlüğünü,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Koordinatör: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Koordinatörlüğün faaliyetlerini yürütmek üzere görevlendirilen kişiyi,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Koordinatör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Yardımcısı: Koordinatöre destek vermek üzere görevlendirilen kişiyi,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Çalışma Ekibi: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Koordinatörlük kapsamında görev alan akademik/idari personel ve gerekli görülen birim temsilcilerini,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Bağımlılık: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Tütün, alkol, madde ve/veya davranışsal bağımlılıklarla ilişkili riskli kullanım ve bağımlılık örüntülerini,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Önleme ve farkındalık faaliyetleri: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Bağımlılık riskini azaltmaya yönelik bilgilendirme, eğitim, iletişim ve duyuru çalışmalarını,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Başvuru: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Öğrenci/personelin kendisi, danışman/öğretim elemanı ya da kurum içi bildirim kanalları üzerinden Koordinatörlüğe iletilen bildirim veya talebi,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Yönlendirme: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Klinik değerlendirme yapılmaksızın, başvuran kişinin uygun destek birimlerine (kurum içi veya kurum dışı) yönlendirilmesini,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Acil risk durumu: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Kendine/başkasına zarar riski veya ağır zehirlenme/yoğun intoksikasyon şüphesi gibi acil yardım gerektiren durumları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Kanıt: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Faaliyetlerin gerçekleştirildiğini ve sonuçlarını gösteren doğrulanabilir kayıtları (duyuru, görsel, katılım listesi, tutanak, rapor vb.),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İzleme göstergesi: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Faaliyetlerin takibini sağlayan ölçülebilir göstergeyi,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PUKÖ: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Planla–Uygula–Kontrol Et–Önlem Al döngüsünü 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DÖF: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Düzeltici/Önleyici Faaliyeti,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40"/>
              </w:numPr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655A7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KVKK:</w:t>
            </w:r>
            <w:r w:rsidRPr="004655A7">
              <w:rPr>
                <w:rFonts w:eastAsia="Times New Roman"/>
                <w:sz w:val="24"/>
                <w:szCs w:val="24"/>
                <w:lang w:eastAsia="tr-TR"/>
              </w:rPr>
              <w:t xml:space="preserve"> 6698 sayılı Kişisel Verilerin Korunması Kanunu ve ilgili ikincil düzenlemeleri,ifade eder.</w:t>
            </w:r>
          </w:p>
          <w:p w:rsidR="007D6E7A" w:rsidRDefault="007D6E7A" w:rsidP="0046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5A7" w:rsidRPr="004655A7" w:rsidRDefault="004655A7" w:rsidP="004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İKİNCİ BÖLÜM</w:t>
            </w:r>
          </w:p>
          <w:p w:rsidR="004655A7" w:rsidRPr="004655A7" w:rsidRDefault="004655A7" w:rsidP="004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Bağımlılıkla Mücadele Koordinatörlüğünün Oluşturulması ve Görevleri</w:t>
            </w:r>
          </w:p>
          <w:p w:rsidR="004655A7" w:rsidRPr="004655A7" w:rsidRDefault="004655A7" w:rsidP="004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Koordinatörlüğün oluşumu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5- </w:t>
            </w:r>
            <w:r w:rsidRPr="004655A7">
              <w:rPr>
                <w:rFonts w:ascii="Times New Roman" w:hAnsi="Times New Roman" w:cs="Times New Roman"/>
                <w:bCs/>
                <w:sz w:val="24"/>
                <w:szCs w:val="24"/>
              </w:rPr>
              <w:t>(1) Koordinatörlüğün oluşturulması: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bookmarkStart w:id="0" w:name="_Hlk221622045"/>
            <w:r w:rsidRPr="004655A7">
              <w:rPr>
                <w:bCs/>
                <w:sz w:val="24"/>
                <w:szCs w:val="24"/>
              </w:rPr>
              <w:t>Koordinatörlük,</w:t>
            </w:r>
            <w:r w:rsidR="007D6E7A">
              <w:rPr>
                <w:bCs/>
                <w:sz w:val="24"/>
                <w:szCs w:val="24"/>
              </w:rPr>
              <w:t xml:space="preserve"> </w:t>
            </w:r>
            <w:r w:rsidRPr="004655A7">
              <w:rPr>
                <w:sz w:val="24"/>
                <w:szCs w:val="24"/>
              </w:rPr>
              <w:t>Yüksekokul Müdürlüğünün önerisi ve Yüksekokul Yönetim Kurulu kararı ile oluşturulur.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4655A7">
              <w:rPr>
                <w:bCs/>
                <w:sz w:val="24"/>
                <w:szCs w:val="24"/>
              </w:rPr>
              <w:t>Koordinatörlük,</w:t>
            </w:r>
            <w:r w:rsidR="007D6E7A">
              <w:rPr>
                <w:bCs/>
                <w:sz w:val="24"/>
                <w:szCs w:val="24"/>
              </w:rPr>
              <w:t xml:space="preserve"> </w:t>
            </w:r>
            <w:r w:rsidRPr="004655A7">
              <w:rPr>
                <w:sz w:val="24"/>
                <w:szCs w:val="24"/>
              </w:rPr>
              <w:t>Meslek Yüksekokulundaki bölümlerde görevli öğretim elemanları ve üyeleri arasından belirlenen en az üç üye ve komisyon başkanından oluşur.</w:t>
            </w:r>
            <w:bookmarkEnd w:id="0"/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4655A7">
              <w:rPr>
                <w:bCs/>
                <w:sz w:val="24"/>
                <w:szCs w:val="24"/>
              </w:rPr>
              <w:t xml:space="preserve">Koordinatörlük </w:t>
            </w:r>
            <w:r w:rsidRPr="004655A7">
              <w:rPr>
                <w:sz w:val="24"/>
                <w:szCs w:val="24"/>
              </w:rPr>
              <w:t>üyelerinin görev süresi 2 (iki) yıldır. Süresi dolan üyeler, Yüksekokul Müdürlüğünün önerisi ve Yüksekokul Yönetim Kurulu kararı ile yeniden görevlendirilebilir.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4655A7">
              <w:rPr>
                <w:bCs/>
                <w:sz w:val="24"/>
                <w:szCs w:val="24"/>
              </w:rPr>
              <w:t>Koordinatörlük,</w:t>
            </w:r>
            <w:r w:rsidR="007D6E7A">
              <w:rPr>
                <w:bCs/>
                <w:sz w:val="24"/>
                <w:szCs w:val="24"/>
              </w:rPr>
              <w:t xml:space="preserve"> </w:t>
            </w:r>
            <w:r w:rsidRPr="004655A7">
              <w:rPr>
                <w:sz w:val="24"/>
                <w:szCs w:val="24"/>
              </w:rPr>
              <w:t>ilk toplantısında kendi üyeleri arasından bir başkan yardımcısı ve bir raportör seçebilir.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4655A7">
              <w:rPr>
                <w:bCs/>
                <w:sz w:val="24"/>
                <w:szCs w:val="24"/>
              </w:rPr>
              <w:t xml:space="preserve">Koordinatörlük </w:t>
            </w:r>
            <w:r w:rsidRPr="004655A7">
              <w:rPr>
                <w:sz w:val="24"/>
                <w:szCs w:val="24"/>
              </w:rPr>
              <w:t>Başkanı olmadığı zaman başkanın önerdiği üyelerden biri başkana vekalet eder.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55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Koodinatörlüğün Çalışma Esasları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55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Madde 6</w:t>
            </w:r>
            <w:r w:rsidRPr="004655A7">
              <w:rPr>
                <w:rFonts w:ascii="Times New Roman" w:eastAsia="Calibri" w:hAnsi="Times New Roman" w:cs="Times New Roman"/>
                <w:sz w:val="24"/>
                <w:szCs w:val="24"/>
              </w:rPr>
              <w:t>- (1) Koordinatörlüğün çalışma esasları: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655A7">
              <w:rPr>
                <w:rFonts w:eastAsia="MS Mincho"/>
                <w:sz w:val="24"/>
                <w:szCs w:val="24"/>
              </w:rPr>
              <w:t>Komisyon yılda en az iki kez olağan olarak toplanır. Gerekli görüldüğünde başkanın çağrısı ile olağanüstü toplantı yapılabilir.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655A7">
              <w:rPr>
                <w:rFonts w:eastAsia="MS Mincho"/>
                <w:sz w:val="24"/>
                <w:szCs w:val="24"/>
              </w:rPr>
              <w:t>Toplantılar Komisyon Başkanının davetiyle yapılır; toplantı gündemi ve toplantıya ilişkin bilgi/belgeler en az üç gün önceden üyelere bildirilir.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9"/>
              </w:numPr>
              <w:jc w:val="both"/>
              <w:rPr>
                <w:rFonts w:eastAsia="MS Mincho"/>
                <w:sz w:val="24"/>
                <w:szCs w:val="24"/>
              </w:rPr>
            </w:pPr>
            <w:bookmarkStart w:id="1" w:name="_Hlk221621881"/>
            <w:r w:rsidRPr="004655A7">
              <w:rPr>
                <w:rFonts w:eastAsia="MS Mincho"/>
                <w:sz w:val="24"/>
                <w:szCs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4655A7">
              <w:rPr>
                <w:rFonts w:eastAsia="MS Mincho"/>
                <w:sz w:val="24"/>
                <w:szCs w:val="24"/>
              </w:rPr>
              <w:t>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4655A7">
              <w:rPr>
                <w:rFonts w:eastAsia="MS Mincho"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4655A7" w:rsidRPr="004655A7" w:rsidRDefault="004655A7" w:rsidP="004655A7">
            <w:pPr>
              <w:pStyle w:val="ListeParagraf"/>
              <w:numPr>
                <w:ilvl w:val="0"/>
                <w:numId w:val="39"/>
              </w:numPr>
              <w:rPr>
                <w:rFonts w:eastAsia="MS Mincho"/>
                <w:sz w:val="24"/>
                <w:szCs w:val="24"/>
              </w:rPr>
            </w:pPr>
            <w:r w:rsidRPr="004655A7">
              <w:rPr>
                <w:rFonts w:eastAsia="MS Mincho"/>
                <w:sz w:val="24"/>
                <w:szCs w:val="24"/>
              </w:rPr>
              <w:t>Komisyonun sekretarya/raportörlük ve yazışma-evrak işlemleri, Komisyon Başkanının koordinasyonunda Raportör tarafından yürütülür.</w:t>
            </w:r>
          </w:p>
          <w:p w:rsidR="004655A7" w:rsidRPr="004655A7" w:rsidRDefault="004655A7" w:rsidP="004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Koordinatörlüğün görevleri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Madde 7- </w:t>
            </w:r>
            <w:r w:rsidRPr="004655A7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Bağımlılıkla Mücadele Koordinatörlüğünün başlıca görevleri şunlardır: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a)Bağımlılıkla mücadele kapsamında yıl içinde yapılacak faaliyetleri “asgari düzeyde” belirlemek (en az 1 bilgilendirme/1 farkındalık etkinliği)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b) Öğrenci ve personele yönelik hazır kaynaklar üzerinden (afiş/duyuru/kurumsal web) bilgilendirme yapmak; mümkünse yılda en az 1 kısa eğitim/oturum düzenlemek veya ilgili birimlerin eğitimlerini duyurmak.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c)Riskli durumlarda klinik değerlendirme yapmaksızın, başvuran kişiyi ilgili birimlere yönlendirmek (Psikolojik Danışmanlık/Rehberlik, Sağlık Birimi, bağımlılık danışma hatları vb.) ve irtibat listesini güncel tutmak.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d)Dış kurumlardan ihtiyaç halinde toplantı/konuk konuşmacı/etkinlik daveti gibi sınırlı iş birliği faaliyetlerini organize etmek.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sz w:val="24"/>
                <w:szCs w:val="24"/>
              </w:rPr>
              <w:t>e)Yapılan faaliyetlerin kanıtlarını (duyuru, katılım listesi, görsel, toplantı tutanağı) dosyalamak; yılda bir kez “Faaliyet Özeti” hazırlayıp PUKÖ kapsamında kayıt altına almak.</w:t>
            </w:r>
          </w:p>
          <w:p w:rsidR="004655A7" w:rsidRPr="004655A7" w:rsidRDefault="004655A7" w:rsidP="004655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f)Akademik danışmanlar, bağımlılık riski fark ettiklerinde öğrenciyi bilgilendirmek ve Koordinatörlüğe yönlendirmek konusunda teşvik edilir.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g) Başvurular; kurumsal e-posta, danışman/öğretim elemanı bildirimi veya Koordinatörlük tarafından duyurulan iletişim kanalları üzerinden alınabilir.</w:t>
            </w:r>
          </w:p>
          <w:p w:rsidR="004655A7" w:rsidRPr="004655A7" w:rsidRDefault="004655A7" w:rsidP="0046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5A7" w:rsidRPr="004655A7" w:rsidRDefault="004655A7" w:rsidP="004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hAnsi="Times New Roman" w:cs="Times New Roman"/>
                <w:b/>
                <w:sz w:val="24"/>
                <w:szCs w:val="24"/>
              </w:rPr>
              <w:t>ÜÇÜNCÜ BÖLÜM</w:t>
            </w:r>
          </w:p>
          <w:p w:rsidR="004655A7" w:rsidRPr="004655A7" w:rsidRDefault="004655A7" w:rsidP="004655A7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Çeşitli ve Son Hükümler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8</w:t>
            </w:r>
            <w:r w:rsidRPr="0046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(1) Bu usul ve esaslarda hüküm bulunmayan hâllerde ilgili mevzuat hükümleri uygulanır.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9</w:t>
            </w:r>
            <w:r w:rsidRPr="0046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(1) Bu usul ve esaslar, Söke Sağlık Hizmetleri Meslek Yüksekokulu Yönetim Kurulunun </w:t>
            </w:r>
            <w:r w:rsidRPr="004655A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onayı ile yürürlüğe girer.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10</w:t>
            </w:r>
            <w:r w:rsidRPr="0046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(1) Bu usul ve esasların hükümlerini Söke Sağlık Hizmetleri Meslek Yüksekokulu Müdürlüğü yürütür.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4655A7" w:rsidRPr="004655A7" w:rsidRDefault="004655A7" w:rsidP="004655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11</w:t>
            </w:r>
            <w:r w:rsidRPr="0046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(1) Bu usul ve esaslarda yapılması önerilen değişiklikler, Bağımlılıkla Mücadele Koordinatörlüğü kararıyla Yüksekokul Müdürlüğüne sunulur. </w:t>
            </w:r>
            <w:r w:rsidR="007D6E7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4655A7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7815A1" w:rsidRPr="004655A7" w:rsidRDefault="007815A1" w:rsidP="0046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4655A7" w:rsidRDefault="007B0D37" w:rsidP="004655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4655A7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594" w:rsidRDefault="00FB6594" w:rsidP="001D3C65">
      <w:pPr>
        <w:spacing w:after="0" w:line="240" w:lineRule="auto"/>
      </w:pPr>
      <w:r>
        <w:separator/>
      </w:r>
    </w:p>
  </w:endnote>
  <w:endnote w:type="continuationSeparator" w:id="1">
    <w:p w:rsidR="00FB6594" w:rsidRDefault="00FB6594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594" w:rsidRDefault="00FB6594" w:rsidP="001D3C65">
      <w:pPr>
        <w:spacing w:after="0" w:line="240" w:lineRule="auto"/>
      </w:pPr>
      <w:r>
        <w:separator/>
      </w:r>
    </w:p>
  </w:footnote>
  <w:footnote w:type="continuationSeparator" w:id="1">
    <w:p w:rsidR="00FB6594" w:rsidRDefault="00FB6594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SSH-USE-00004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60552" w:rsidRDefault="004655A7" w:rsidP="004E3CFC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BAĞIMLILIKLA MÜCADELE KOORDİNATÖRLÜĞÜ</w:t>
          </w:r>
          <w:r w:rsidR="004E3CF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A56754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>USUL VE ESASLARI</w:t>
          </w:r>
          <w:r w:rsidR="008B69A2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845DDA"/>
    <w:multiLevelType w:val="hybridMultilevel"/>
    <w:tmpl w:val="A23EC28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6CE4885"/>
    <w:multiLevelType w:val="hybridMultilevel"/>
    <w:tmpl w:val="3180775C"/>
    <w:lvl w:ilvl="0" w:tplc="5E3824C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F42782A"/>
    <w:multiLevelType w:val="hybridMultilevel"/>
    <w:tmpl w:val="4844AC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6528BF"/>
    <w:multiLevelType w:val="hybridMultilevel"/>
    <w:tmpl w:val="D17AC8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6596B"/>
    <w:multiLevelType w:val="hybridMultilevel"/>
    <w:tmpl w:val="3F8EB0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15F6D8F"/>
    <w:multiLevelType w:val="hybridMultilevel"/>
    <w:tmpl w:val="A06CF9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E77FA4"/>
    <w:multiLevelType w:val="hybridMultilevel"/>
    <w:tmpl w:val="1E0E5FC8"/>
    <w:lvl w:ilvl="0" w:tplc="3B1A9CF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71AD8"/>
    <w:multiLevelType w:val="hybridMultilevel"/>
    <w:tmpl w:val="18445AA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5C72C2"/>
    <w:multiLevelType w:val="hybridMultilevel"/>
    <w:tmpl w:val="784C96A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4F7EA5"/>
    <w:multiLevelType w:val="hybridMultilevel"/>
    <w:tmpl w:val="AB58B94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0721A1"/>
    <w:multiLevelType w:val="hybridMultilevel"/>
    <w:tmpl w:val="4EBAC9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1130B6"/>
    <w:multiLevelType w:val="hybridMultilevel"/>
    <w:tmpl w:val="BF8E5C9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336B12"/>
    <w:multiLevelType w:val="hybridMultilevel"/>
    <w:tmpl w:val="C818E6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B6DB7"/>
    <w:multiLevelType w:val="hybridMultilevel"/>
    <w:tmpl w:val="9122578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F91A32"/>
    <w:multiLevelType w:val="hybridMultilevel"/>
    <w:tmpl w:val="6EB811C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C8537A"/>
    <w:multiLevelType w:val="hybridMultilevel"/>
    <w:tmpl w:val="6CA45BB4"/>
    <w:lvl w:ilvl="0" w:tplc="B2F28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DFB0679"/>
    <w:multiLevelType w:val="hybridMultilevel"/>
    <w:tmpl w:val="FE8832C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026738"/>
    <w:multiLevelType w:val="hybridMultilevel"/>
    <w:tmpl w:val="2DD0CA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4F2BF5"/>
    <w:multiLevelType w:val="hybridMultilevel"/>
    <w:tmpl w:val="22A0CC7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</w:num>
  <w:num w:numId="3">
    <w:abstractNumId w:val="32"/>
  </w:num>
  <w:num w:numId="4">
    <w:abstractNumId w:val="29"/>
  </w:num>
  <w:num w:numId="5">
    <w:abstractNumId w:val="21"/>
  </w:num>
  <w:num w:numId="6">
    <w:abstractNumId w:val="15"/>
  </w:num>
  <w:num w:numId="7">
    <w:abstractNumId w:val="11"/>
  </w:num>
  <w:num w:numId="8">
    <w:abstractNumId w:val="26"/>
  </w:num>
  <w:num w:numId="9">
    <w:abstractNumId w:val="36"/>
  </w:num>
  <w:num w:numId="10">
    <w:abstractNumId w:val="18"/>
  </w:num>
  <w:num w:numId="11">
    <w:abstractNumId w:val="24"/>
  </w:num>
  <w:num w:numId="12">
    <w:abstractNumId w:val="22"/>
  </w:num>
  <w:num w:numId="13">
    <w:abstractNumId w:val="28"/>
  </w:num>
  <w:num w:numId="14">
    <w:abstractNumId w:val="17"/>
  </w:num>
  <w:num w:numId="15">
    <w:abstractNumId w:val="27"/>
  </w:num>
  <w:num w:numId="16">
    <w:abstractNumId w:val="38"/>
  </w:num>
  <w:num w:numId="17">
    <w:abstractNumId w:val="30"/>
  </w:num>
  <w:num w:numId="18">
    <w:abstractNumId w:val="23"/>
  </w:num>
  <w:num w:numId="19">
    <w:abstractNumId w:val="25"/>
  </w:num>
  <w:num w:numId="20">
    <w:abstractNumId w:val="34"/>
  </w:num>
  <w:num w:numId="21">
    <w:abstractNumId w:val="8"/>
  </w:num>
  <w:num w:numId="22">
    <w:abstractNumId w:val="6"/>
  </w:num>
  <w:num w:numId="23">
    <w:abstractNumId w:val="5"/>
  </w:num>
  <w:num w:numId="24">
    <w:abstractNumId w:val="4"/>
  </w:num>
  <w:num w:numId="25">
    <w:abstractNumId w:val="7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</w:num>
  <w:num w:numId="31">
    <w:abstractNumId w:val="12"/>
  </w:num>
  <w:num w:numId="32">
    <w:abstractNumId w:val="31"/>
  </w:num>
  <w:num w:numId="33">
    <w:abstractNumId w:val="35"/>
  </w:num>
  <w:num w:numId="34">
    <w:abstractNumId w:val="20"/>
  </w:num>
  <w:num w:numId="35">
    <w:abstractNumId w:val="10"/>
  </w:num>
  <w:num w:numId="36">
    <w:abstractNumId w:val="39"/>
  </w:num>
  <w:num w:numId="37">
    <w:abstractNumId w:val="19"/>
  </w:num>
  <w:num w:numId="38">
    <w:abstractNumId w:val="37"/>
  </w:num>
  <w:num w:numId="39">
    <w:abstractNumId w:val="9"/>
  </w:num>
  <w:num w:numId="40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60552"/>
    <w:rsid w:val="00184F8E"/>
    <w:rsid w:val="001C188F"/>
    <w:rsid w:val="001D3C65"/>
    <w:rsid w:val="001E049B"/>
    <w:rsid w:val="00247C2D"/>
    <w:rsid w:val="002C4DC4"/>
    <w:rsid w:val="00317766"/>
    <w:rsid w:val="0034361F"/>
    <w:rsid w:val="00367719"/>
    <w:rsid w:val="003B3BB1"/>
    <w:rsid w:val="003B60E7"/>
    <w:rsid w:val="004326BB"/>
    <w:rsid w:val="004655A7"/>
    <w:rsid w:val="004B609F"/>
    <w:rsid w:val="004E3CFC"/>
    <w:rsid w:val="0059286A"/>
    <w:rsid w:val="005D6D26"/>
    <w:rsid w:val="00614538"/>
    <w:rsid w:val="00621D85"/>
    <w:rsid w:val="0067539A"/>
    <w:rsid w:val="006B1FF9"/>
    <w:rsid w:val="0076533A"/>
    <w:rsid w:val="007815A1"/>
    <w:rsid w:val="0079152D"/>
    <w:rsid w:val="007B0D37"/>
    <w:rsid w:val="007D6E7A"/>
    <w:rsid w:val="00882C1D"/>
    <w:rsid w:val="00885084"/>
    <w:rsid w:val="00886060"/>
    <w:rsid w:val="008B1422"/>
    <w:rsid w:val="008B69A2"/>
    <w:rsid w:val="00920969"/>
    <w:rsid w:val="009409C3"/>
    <w:rsid w:val="009A2DA6"/>
    <w:rsid w:val="009A77DB"/>
    <w:rsid w:val="009E1C82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C02A8"/>
    <w:rsid w:val="00CE051F"/>
    <w:rsid w:val="00D47A87"/>
    <w:rsid w:val="00EA2440"/>
    <w:rsid w:val="00F00616"/>
    <w:rsid w:val="00F45E50"/>
    <w:rsid w:val="00F5017E"/>
    <w:rsid w:val="00F53C00"/>
    <w:rsid w:val="00F62B3E"/>
    <w:rsid w:val="00F7046F"/>
    <w:rsid w:val="00FB6594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CF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99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  <w:style w:type="character" w:customStyle="1" w:styleId="Balk2Char">
    <w:name w:val="Başlık 2 Char"/>
    <w:basedOn w:val="VarsaylanParagrafYazTipi"/>
    <w:link w:val="Balk2"/>
    <w:uiPriority w:val="9"/>
    <w:rsid w:val="004E3CF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CF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CFC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CF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CF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CFC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CF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</w:rPr>
  </w:style>
  <w:style w:type="paragraph" w:styleId="AralkYok">
    <w:name w:val="No Spacing"/>
    <w:uiPriority w:val="1"/>
    <w:qFormat/>
    <w:rsid w:val="004E3CFC"/>
    <w:pPr>
      <w:spacing w:after="0" w:line="240" w:lineRule="auto"/>
    </w:pPr>
    <w:rPr>
      <w:rFonts w:eastAsiaTheme="minorEastAsia"/>
      <w:kern w:val="0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E3CF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E3CF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E3CFC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4E3CFC"/>
    <w:pPr>
      <w:spacing w:after="120" w:line="480" w:lineRule="auto"/>
    </w:pPr>
    <w:rPr>
      <w:rFonts w:ascii="Times New Roman" w:eastAsiaTheme="minorEastAsia" w:hAnsi="Times New Roman"/>
      <w:kern w:val="0"/>
      <w:sz w:val="24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E3CFC"/>
    <w:rPr>
      <w:rFonts w:ascii="Times New Roman" w:eastAsiaTheme="minorEastAsia" w:hAnsi="Times New Roman"/>
      <w:kern w:val="0"/>
      <w:sz w:val="24"/>
      <w:lang w:val="en-US"/>
    </w:rPr>
  </w:style>
  <w:style w:type="paragraph" w:styleId="GvdeMetni3">
    <w:name w:val="Body Text 3"/>
    <w:basedOn w:val="Normal"/>
    <w:link w:val="GvdeMetni3Char"/>
    <w:uiPriority w:val="99"/>
    <w:unhideWhenUsed/>
    <w:rsid w:val="004E3CFC"/>
    <w:pPr>
      <w:spacing w:after="120" w:line="276" w:lineRule="auto"/>
    </w:pPr>
    <w:rPr>
      <w:rFonts w:ascii="Times New Roman" w:eastAsiaTheme="minorEastAsia" w:hAnsi="Times New Roman"/>
      <w:kern w:val="0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E3CFC"/>
    <w:rPr>
      <w:rFonts w:ascii="Times New Roman" w:eastAsiaTheme="minorEastAsia" w:hAnsi="Times New Roman"/>
      <w:kern w:val="0"/>
      <w:sz w:val="16"/>
      <w:szCs w:val="16"/>
      <w:lang w:val="en-US"/>
    </w:rPr>
  </w:style>
  <w:style w:type="paragraph" w:styleId="Liste">
    <w:name w:val="List"/>
    <w:basedOn w:val="Normal"/>
    <w:uiPriority w:val="99"/>
    <w:unhideWhenUsed/>
    <w:rsid w:val="004E3CFC"/>
    <w:pPr>
      <w:spacing w:after="200" w:line="276" w:lineRule="auto"/>
      <w:ind w:left="36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2">
    <w:name w:val="List 2"/>
    <w:basedOn w:val="Normal"/>
    <w:uiPriority w:val="99"/>
    <w:unhideWhenUsed/>
    <w:rsid w:val="004E3CFC"/>
    <w:pPr>
      <w:spacing w:after="200" w:line="276" w:lineRule="auto"/>
      <w:ind w:left="72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3">
    <w:name w:val="List 3"/>
    <w:basedOn w:val="Normal"/>
    <w:uiPriority w:val="99"/>
    <w:unhideWhenUsed/>
    <w:rsid w:val="004E3CFC"/>
    <w:pPr>
      <w:spacing w:after="200" w:line="276" w:lineRule="auto"/>
      <w:ind w:left="108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">
    <w:name w:val="List Bullet"/>
    <w:basedOn w:val="Normal"/>
    <w:uiPriority w:val="99"/>
    <w:unhideWhenUsed/>
    <w:rsid w:val="004E3CFC"/>
    <w:pPr>
      <w:numPr>
        <w:numId w:val="21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2">
    <w:name w:val="List Bullet 2"/>
    <w:basedOn w:val="Normal"/>
    <w:uiPriority w:val="99"/>
    <w:unhideWhenUsed/>
    <w:rsid w:val="004E3CFC"/>
    <w:pPr>
      <w:numPr>
        <w:numId w:val="22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3">
    <w:name w:val="List Bullet 3"/>
    <w:basedOn w:val="Normal"/>
    <w:uiPriority w:val="99"/>
    <w:unhideWhenUsed/>
    <w:rsid w:val="004E3CFC"/>
    <w:pPr>
      <w:numPr>
        <w:numId w:val="23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">
    <w:name w:val="List Number"/>
    <w:basedOn w:val="Normal"/>
    <w:uiPriority w:val="99"/>
    <w:unhideWhenUsed/>
    <w:rsid w:val="004E3CFC"/>
    <w:pPr>
      <w:numPr>
        <w:numId w:val="25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2">
    <w:name w:val="List Number 2"/>
    <w:basedOn w:val="Normal"/>
    <w:uiPriority w:val="99"/>
    <w:unhideWhenUsed/>
    <w:rsid w:val="004E3CFC"/>
    <w:pPr>
      <w:numPr>
        <w:numId w:val="26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3">
    <w:name w:val="List Number 3"/>
    <w:basedOn w:val="Normal"/>
    <w:uiPriority w:val="99"/>
    <w:unhideWhenUsed/>
    <w:rsid w:val="004E3CFC"/>
    <w:pPr>
      <w:numPr>
        <w:numId w:val="27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">
    <w:name w:val="List Continue"/>
    <w:basedOn w:val="Normal"/>
    <w:uiPriority w:val="99"/>
    <w:unhideWhenUsed/>
    <w:rsid w:val="004E3CFC"/>
    <w:pPr>
      <w:spacing w:after="120" w:line="276" w:lineRule="auto"/>
      <w:ind w:left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2">
    <w:name w:val="List Continue 2"/>
    <w:basedOn w:val="Normal"/>
    <w:uiPriority w:val="99"/>
    <w:unhideWhenUsed/>
    <w:rsid w:val="004E3CFC"/>
    <w:pPr>
      <w:spacing w:after="120" w:line="276" w:lineRule="auto"/>
      <w:ind w:left="72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3">
    <w:name w:val="List Continue 3"/>
    <w:basedOn w:val="Normal"/>
    <w:uiPriority w:val="99"/>
    <w:unhideWhenUsed/>
    <w:rsid w:val="004E3CFC"/>
    <w:pPr>
      <w:spacing w:after="120" w:line="276" w:lineRule="auto"/>
      <w:ind w:left="108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MakroMetni">
    <w:name w:val="macro"/>
    <w:link w:val="MakroMetniChar"/>
    <w:uiPriority w:val="99"/>
    <w:unhideWhenUsed/>
    <w:rsid w:val="004E3CF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4E3CFC"/>
    <w:rPr>
      <w:rFonts w:ascii="Courier" w:eastAsiaTheme="minorEastAsia" w:hAnsi="Courier"/>
      <w:kern w:val="0"/>
      <w:sz w:val="20"/>
      <w:szCs w:val="20"/>
      <w:lang w:val="en-US"/>
    </w:rPr>
  </w:style>
  <w:style w:type="paragraph" w:styleId="Trnak">
    <w:name w:val="Quote"/>
    <w:basedOn w:val="Normal"/>
    <w:next w:val="Normal"/>
    <w:link w:val="TrnakChar"/>
    <w:uiPriority w:val="29"/>
    <w:qFormat/>
    <w:rsid w:val="004E3CFC"/>
    <w:pPr>
      <w:spacing w:after="200" w:line="276" w:lineRule="auto"/>
    </w:pPr>
    <w:rPr>
      <w:rFonts w:ascii="Times New Roman" w:eastAsiaTheme="minorEastAsia" w:hAnsi="Times New Roman"/>
      <w:i/>
      <w:iCs/>
      <w:color w:val="000000" w:themeColor="text1"/>
      <w:kern w:val="0"/>
      <w:sz w:val="24"/>
      <w:lang w:val="en-US"/>
    </w:rPr>
  </w:style>
  <w:style w:type="character" w:customStyle="1" w:styleId="TrnakChar">
    <w:name w:val="Tırnak Char"/>
    <w:basedOn w:val="VarsaylanParagrafYazTipi"/>
    <w:link w:val="Trnak"/>
    <w:uiPriority w:val="29"/>
    <w:rsid w:val="004E3CFC"/>
    <w:rPr>
      <w:rFonts w:ascii="Times New Roman" w:eastAsiaTheme="minorEastAsia" w:hAnsi="Times New Roman"/>
      <w:i/>
      <w:iCs/>
      <w:color w:val="000000" w:themeColor="text1"/>
      <w:kern w:val="0"/>
      <w:sz w:val="24"/>
      <w:lang w:val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CFC"/>
    <w:pPr>
      <w:spacing w:after="200" w:line="240" w:lineRule="auto"/>
    </w:pPr>
    <w:rPr>
      <w:rFonts w:ascii="Times New Roman" w:eastAsiaTheme="minorEastAsia" w:hAnsi="Times New Roman"/>
      <w:b/>
      <w:bCs/>
      <w:color w:val="4472C4" w:themeColor="accent1"/>
      <w:kern w:val="0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4E3CFC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E3CF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Times New Roman" w:eastAsiaTheme="minorEastAsia" w:hAnsi="Times New Roman"/>
      <w:b/>
      <w:bCs/>
      <w:i/>
      <w:iCs/>
      <w:color w:val="4472C4" w:themeColor="accent1"/>
      <w:kern w:val="0"/>
      <w:sz w:val="24"/>
      <w:lang w:val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E3CFC"/>
    <w:rPr>
      <w:rFonts w:ascii="Times New Roman" w:eastAsiaTheme="minorEastAsia" w:hAnsi="Times New Roman"/>
      <w:b/>
      <w:bCs/>
      <w:i/>
      <w:iCs/>
      <w:color w:val="4472C4" w:themeColor="accent1"/>
      <w:kern w:val="0"/>
      <w:sz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4E3CFC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4E3CFC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4E3CFC"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4E3CFC"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4E3CFC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CFC"/>
    <w:pPr>
      <w:spacing w:line="276" w:lineRule="auto"/>
      <w:outlineLvl w:val="9"/>
    </w:pPr>
    <w:rPr>
      <w:kern w:val="0"/>
      <w:lang w:val="en-US"/>
    </w:rPr>
  </w:style>
  <w:style w:type="table" w:styleId="AkGlgeleme">
    <w:name w:val="Light Shading"/>
    <w:basedOn w:val="NormalTablo"/>
    <w:uiPriority w:val="60"/>
    <w:rsid w:val="004E3CFC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4E3CFC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4E3CFC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4E3CFC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4E3CFC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4E3CFC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4E3CFC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">
    <w:name w:val="Light List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">
    <w:name w:val="Light Grid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oyuListe">
    <w:name w:val="Dark List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">
    <w:name w:val="Colorful Shading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">
    <w:name w:val="Colorful Grid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E3C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2026-04-03T07:12:00Z</dcterms:created>
  <dcterms:modified xsi:type="dcterms:W3CDTF">2026-04-03T07:12:00Z</dcterms:modified>
</cp:coreProperties>
</file>