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ook w:val="04A0"/>
      </w:tblPr>
      <w:tblGrid>
        <w:gridCol w:w="9895"/>
      </w:tblGrid>
      <w:tr w:rsidR="001D3C65" w:rsidTr="00A9375D">
        <w:trPr>
          <w:trHeight w:val="12266"/>
        </w:trPr>
        <w:tc>
          <w:tcPr>
            <w:tcW w:w="9895" w:type="dxa"/>
          </w:tcPr>
          <w:p w:rsidR="00A56754" w:rsidRPr="0008051F" w:rsidRDefault="00A56754" w:rsidP="00A56754">
            <w:pPr>
              <w:jc w:val="center"/>
              <w:rPr>
                <w:rFonts w:ascii="Times New Roman" w:hAnsi="Times New Roman" w:cs="Times New Roman"/>
                <w:b/>
                <w:bCs/>
                <w:sz w:val="24"/>
                <w:szCs w:val="24"/>
              </w:rPr>
            </w:pPr>
            <w:r w:rsidRPr="0008051F">
              <w:rPr>
                <w:rFonts w:ascii="Times New Roman" w:hAnsi="Times New Roman" w:cs="Times New Roman"/>
                <w:b/>
                <w:bCs/>
                <w:sz w:val="24"/>
                <w:szCs w:val="24"/>
              </w:rPr>
              <w:t>BİRİNCİ BÖLÜM</w:t>
            </w:r>
          </w:p>
          <w:p w:rsidR="00A56754" w:rsidRPr="0008051F" w:rsidRDefault="00A56754" w:rsidP="00A56754">
            <w:pPr>
              <w:jc w:val="center"/>
              <w:rPr>
                <w:rFonts w:ascii="Times New Roman" w:hAnsi="Times New Roman" w:cs="Times New Roman"/>
                <w:b/>
                <w:bCs/>
                <w:sz w:val="24"/>
                <w:szCs w:val="24"/>
              </w:rPr>
            </w:pPr>
            <w:r w:rsidRPr="0008051F">
              <w:rPr>
                <w:rFonts w:ascii="Times New Roman" w:hAnsi="Times New Roman" w:cs="Times New Roman"/>
                <w:b/>
                <w:bCs/>
                <w:sz w:val="24"/>
                <w:szCs w:val="24"/>
              </w:rPr>
              <w:t>Amaç, Kapsam, Dayanak ve Tanımlar</w:t>
            </w:r>
          </w:p>
          <w:p w:rsidR="00A56754" w:rsidRPr="0008051F" w:rsidRDefault="00A56754" w:rsidP="00A56754">
            <w:pPr>
              <w:jc w:val="both"/>
              <w:rPr>
                <w:rFonts w:ascii="Times New Roman" w:hAnsi="Times New Roman" w:cs="Times New Roman"/>
                <w:b/>
                <w:bCs/>
                <w:sz w:val="24"/>
                <w:szCs w:val="24"/>
              </w:rPr>
            </w:pPr>
            <w:r w:rsidRPr="0008051F">
              <w:rPr>
                <w:rFonts w:ascii="Times New Roman" w:hAnsi="Times New Roman" w:cs="Times New Roman"/>
                <w:b/>
                <w:bCs/>
                <w:sz w:val="24"/>
                <w:szCs w:val="24"/>
              </w:rPr>
              <w:t xml:space="preserve">Amaç </w:t>
            </w:r>
          </w:p>
          <w:p w:rsidR="00A56754" w:rsidRPr="0008051F" w:rsidRDefault="00A56754" w:rsidP="00A56754">
            <w:pPr>
              <w:tabs>
                <w:tab w:val="left" w:pos="1455"/>
              </w:tabs>
              <w:jc w:val="both"/>
              <w:rPr>
                <w:rFonts w:ascii="Times New Roman" w:hAnsi="Times New Roman" w:cs="Times New Roman"/>
                <w:sz w:val="24"/>
                <w:szCs w:val="24"/>
              </w:rPr>
            </w:pPr>
            <w:r w:rsidRPr="0008051F">
              <w:rPr>
                <w:rFonts w:ascii="Times New Roman" w:hAnsi="Times New Roman" w:cs="Times New Roman"/>
                <w:b/>
                <w:bCs/>
                <w:sz w:val="24"/>
                <w:szCs w:val="24"/>
              </w:rPr>
              <w:t>Madde 1-</w:t>
            </w:r>
            <w:r w:rsidRPr="0008051F">
              <w:rPr>
                <w:rFonts w:ascii="Times New Roman" w:hAnsi="Times New Roman" w:cs="Times New Roman"/>
                <w:sz w:val="24"/>
                <w:szCs w:val="24"/>
              </w:rPr>
              <w:t xml:space="preserve"> Bu usul ve esasların amacı, Aydın Adnan Menderes Üniversitesi Söke Sağlık Hizmetleri Meslek Yüksekokulu öğrencilerine burs vermek üzere başvuran kurumların/kişilerin ön lisans düzeyinde öğrenim gören, başarılı ve maddi durumu ya da imkânları yetersiz olan öğrencileri belirleme sürecindeki çalışmalarını sürdürmek, kurumların/kişilerin belirlediği tarih ve saatte bursiyer öğrencilerin seçimi ile ilgili toplantılara üye olarak katılmak, üniversitemizin aynı grup öğrenciler için sağlamış olduğu yemek bursu konusunda öğrencilere rehberlik etmek, kısmi zamanlı çalışma başvurularınıadil ve şeffaf şekilde değerlendirmek, burs alan öğrencilerin yer aldığı tutanağıYüksekokul Müdürlüğü’ne ve Üniversitenin Öğrenci İşleri Burs Birimine bildirmek, tüm burs alan öğrencilerin başarı durumlarını izlemektir.</w:t>
            </w:r>
          </w:p>
          <w:p w:rsidR="00A56754" w:rsidRPr="0008051F" w:rsidRDefault="00A56754" w:rsidP="00A56754">
            <w:pPr>
              <w:tabs>
                <w:tab w:val="left" w:pos="1455"/>
              </w:tabs>
              <w:jc w:val="both"/>
              <w:rPr>
                <w:rFonts w:ascii="Times New Roman" w:hAnsi="Times New Roman" w:cs="Times New Roman"/>
                <w:sz w:val="24"/>
                <w:szCs w:val="24"/>
              </w:rPr>
            </w:pPr>
            <w:r w:rsidRPr="0008051F">
              <w:rPr>
                <w:rFonts w:ascii="Times New Roman" w:hAnsi="Times New Roman" w:cs="Times New Roman"/>
                <w:b/>
                <w:bCs/>
                <w:sz w:val="24"/>
                <w:szCs w:val="24"/>
              </w:rPr>
              <w:t>Kapsam</w:t>
            </w:r>
          </w:p>
          <w:p w:rsidR="00A56754" w:rsidRPr="0008051F" w:rsidRDefault="00A56754" w:rsidP="00A56754">
            <w:pPr>
              <w:tabs>
                <w:tab w:val="left" w:pos="1455"/>
              </w:tabs>
              <w:jc w:val="both"/>
              <w:rPr>
                <w:rFonts w:ascii="Times New Roman" w:hAnsi="Times New Roman" w:cs="Times New Roman"/>
                <w:color w:val="212529"/>
                <w:sz w:val="24"/>
                <w:szCs w:val="24"/>
              </w:rPr>
            </w:pPr>
            <w:r w:rsidRPr="0008051F">
              <w:rPr>
                <w:rStyle w:val="Gl"/>
                <w:rFonts w:ascii="Times New Roman" w:eastAsiaTheme="majorEastAsia" w:hAnsi="Times New Roman" w:cs="Times New Roman"/>
                <w:sz w:val="24"/>
                <w:szCs w:val="24"/>
              </w:rPr>
              <w:t>Madde 2</w:t>
            </w:r>
            <w:r w:rsidRPr="0008051F">
              <w:rPr>
                <w:rFonts w:ascii="Times New Roman" w:hAnsi="Times New Roman" w:cs="Times New Roman"/>
                <w:b/>
                <w:bCs/>
                <w:sz w:val="24"/>
                <w:szCs w:val="24"/>
              </w:rPr>
              <w:t>-</w:t>
            </w:r>
            <w:r w:rsidRPr="0008051F">
              <w:rPr>
                <w:rFonts w:ascii="Times New Roman" w:hAnsi="Times New Roman" w:cs="Times New Roman"/>
                <w:color w:val="212529"/>
                <w:sz w:val="24"/>
                <w:szCs w:val="24"/>
              </w:rPr>
              <w:t xml:space="preserve">Bu çalışma usul ve esasları; </w:t>
            </w:r>
            <w:r w:rsidRPr="0008051F">
              <w:rPr>
                <w:rFonts w:ascii="Times New Roman" w:hAnsi="Times New Roman" w:cs="Times New Roman"/>
                <w:sz w:val="24"/>
                <w:szCs w:val="24"/>
              </w:rPr>
              <w:t>Aydın Adnan Menderes Üniversitesi Söke Sağlık Hizmetleri Meslek Yüksekokulu</w:t>
            </w:r>
            <w:r w:rsidRPr="0008051F">
              <w:rPr>
                <w:rFonts w:ascii="Times New Roman" w:hAnsi="Times New Roman" w:cs="Times New Roman"/>
                <w:color w:val="212529"/>
                <w:sz w:val="24"/>
                <w:szCs w:val="24"/>
              </w:rPr>
              <w:t xml:space="preserve"> Burs Komisyonunun oluşturulması, görev süreleri, genel ilkeler ve çalışma ilkeleri, görev ve sorumlulukları kapsar. </w:t>
            </w:r>
          </w:p>
          <w:p w:rsidR="00A56754" w:rsidRPr="0008051F" w:rsidRDefault="00A56754" w:rsidP="00C303FA">
            <w:pPr>
              <w:pStyle w:val="NormalWeb"/>
              <w:spacing w:before="0" w:beforeAutospacing="0" w:after="0" w:afterAutospacing="0"/>
              <w:jc w:val="both"/>
              <w:rPr>
                <w:rStyle w:val="Gl"/>
                <w:rFonts w:eastAsiaTheme="majorEastAsia"/>
              </w:rPr>
            </w:pPr>
            <w:r w:rsidRPr="0008051F">
              <w:rPr>
                <w:rStyle w:val="Gl"/>
                <w:rFonts w:eastAsiaTheme="majorEastAsia"/>
              </w:rPr>
              <w:t>Dayanak</w:t>
            </w:r>
          </w:p>
          <w:p w:rsidR="00A56754" w:rsidRPr="0008051F" w:rsidRDefault="00A56754" w:rsidP="00A56754">
            <w:pPr>
              <w:pStyle w:val="Default"/>
              <w:jc w:val="both"/>
            </w:pPr>
            <w:r w:rsidRPr="0008051F">
              <w:rPr>
                <w:rStyle w:val="Gl"/>
                <w:rFonts w:eastAsiaTheme="majorEastAsia"/>
              </w:rPr>
              <w:t>Madde 3</w:t>
            </w:r>
            <w:r w:rsidRPr="0008051F">
              <w:rPr>
                <w:b/>
                <w:bCs/>
              </w:rPr>
              <w:t>-</w:t>
            </w:r>
            <w:r w:rsidRPr="0008051F">
              <w:t>Bu usul ve esaslar; 2547 sayılı Yüksek Öğretim Kanununun Sosyal Hizmetlere İlişkin 47. Maddesi ve Öğrencilerin Disiplin İşlerine İlişkin 54. Maddesi, Yükseköğretim Kurumları Mediko-Sosyal Sağlık, Kültür ve Spor İşleri Dairesi Uygulama Yönetmeliği’nin Sosyal Hizmetlere ilişkin 15. Maddesi,  Aydın Adnan Menderes Üniversitesi Kısmi Zamanlı Öğrenci Çalıştırma Yönergesi, Aydın Adnan Menderes Üniversitesi Öğrenci Yemek Bursu Yönergesi, 5102 sayılı Yüksek Öğrenim Gören Öğrencilerine Burs, Kredi Verilmesine Dair Kanun ve Yüksekokulun ilgili kurul kararlarına dayanılarak hazırlanmıştır.</w:t>
            </w:r>
          </w:p>
          <w:p w:rsidR="00A56754" w:rsidRPr="0008051F" w:rsidRDefault="00A56754" w:rsidP="00A56754">
            <w:pPr>
              <w:pStyle w:val="Default"/>
              <w:rPr>
                <w:b/>
                <w:bCs/>
              </w:rPr>
            </w:pPr>
            <w:r w:rsidRPr="0008051F">
              <w:rPr>
                <w:b/>
                <w:bCs/>
              </w:rPr>
              <w:t>Tanımlar</w:t>
            </w:r>
          </w:p>
          <w:p w:rsidR="00A56754" w:rsidRPr="0008051F" w:rsidRDefault="00A56754" w:rsidP="00C303FA">
            <w:pPr>
              <w:pStyle w:val="NormalWeb"/>
              <w:spacing w:before="0" w:beforeAutospacing="0" w:after="0" w:afterAutospacing="0"/>
            </w:pPr>
            <w:r w:rsidRPr="0008051F">
              <w:rPr>
                <w:rStyle w:val="Gl"/>
                <w:rFonts w:eastAsiaTheme="majorEastAsia"/>
              </w:rPr>
              <w:t>Madde 4-</w:t>
            </w:r>
            <w:r w:rsidRPr="0008051F">
              <w:t>(1) Bu usul ve esaslarda geçen</w:t>
            </w:r>
            <w:r>
              <w:t>;</w:t>
            </w:r>
          </w:p>
          <w:p w:rsidR="00A56754" w:rsidRPr="0008051F" w:rsidRDefault="00A56754" w:rsidP="00A56754">
            <w:pPr>
              <w:pStyle w:val="NormalWeb"/>
              <w:spacing w:before="0" w:beforeAutospacing="0" w:after="0" w:afterAutospacing="0"/>
              <w:ind w:left="709"/>
              <w:contextualSpacing/>
              <w:jc w:val="both"/>
            </w:pPr>
            <w:r w:rsidRPr="0008051F">
              <w:t xml:space="preserve">a) </w:t>
            </w:r>
            <w:r w:rsidRPr="00111D0D">
              <w:rPr>
                <w:rStyle w:val="Gl"/>
                <w:rFonts w:eastAsiaTheme="majorEastAsia"/>
              </w:rPr>
              <w:t>Üniversite:</w:t>
            </w:r>
            <w:r w:rsidRPr="0008051F">
              <w:t xml:space="preserve"> Aydın Adnan Menderes Üniversitesini,</w:t>
            </w:r>
          </w:p>
          <w:p w:rsidR="00A56754" w:rsidRPr="0008051F" w:rsidRDefault="00A56754" w:rsidP="00A56754">
            <w:pPr>
              <w:pStyle w:val="NormalWeb"/>
              <w:spacing w:before="0" w:beforeAutospacing="0" w:after="0" w:afterAutospacing="0"/>
              <w:ind w:left="709"/>
              <w:contextualSpacing/>
              <w:jc w:val="both"/>
            </w:pPr>
            <w:r w:rsidRPr="0008051F">
              <w:t xml:space="preserve">b) </w:t>
            </w:r>
            <w:r w:rsidRPr="00111D0D">
              <w:rPr>
                <w:rStyle w:val="Gl"/>
                <w:rFonts w:eastAsiaTheme="majorEastAsia"/>
              </w:rPr>
              <w:t>Yüksekokul:</w:t>
            </w:r>
            <w:r w:rsidRPr="0008051F">
              <w:t xml:space="preserve"> Söke Sağlık Hizmetleri Meslek Yüksekokulunu,</w:t>
            </w:r>
          </w:p>
          <w:p w:rsidR="00A56754" w:rsidRPr="0008051F" w:rsidRDefault="00A56754" w:rsidP="00A56754">
            <w:pPr>
              <w:pStyle w:val="NormalWeb"/>
              <w:spacing w:before="0" w:beforeAutospacing="0" w:after="0" w:afterAutospacing="0"/>
              <w:ind w:left="709"/>
              <w:contextualSpacing/>
              <w:jc w:val="both"/>
            </w:pPr>
            <w:r w:rsidRPr="0008051F">
              <w:t xml:space="preserve">c) </w:t>
            </w:r>
            <w:r w:rsidRPr="00111D0D">
              <w:rPr>
                <w:rStyle w:val="Gl"/>
                <w:rFonts w:eastAsiaTheme="majorEastAsia"/>
              </w:rPr>
              <w:t>Müdür:</w:t>
            </w:r>
            <w:r w:rsidRPr="0008051F">
              <w:t xml:space="preserve"> Söke Sağlık Hizmetleri Meslek Yüksekokulu Müdürünü,</w:t>
            </w:r>
          </w:p>
          <w:p w:rsidR="00A56754" w:rsidRPr="0008051F" w:rsidRDefault="00A56754" w:rsidP="00A56754">
            <w:pPr>
              <w:pStyle w:val="NormalWeb"/>
              <w:spacing w:before="0" w:beforeAutospacing="0" w:after="0" w:afterAutospacing="0"/>
              <w:ind w:left="709"/>
              <w:contextualSpacing/>
              <w:jc w:val="both"/>
            </w:pPr>
            <w:r w:rsidRPr="0008051F">
              <w:t xml:space="preserve">ç) </w:t>
            </w:r>
            <w:r w:rsidRPr="00111D0D">
              <w:rPr>
                <w:rStyle w:val="Gl"/>
                <w:rFonts w:eastAsiaTheme="majorEastAsia"/>
              </w:rPr>
              <w:t>Komisyon:</w:t>
            </w:r>
            <w:r w:rsidRPr="0008051F">
              <w:t xml:space="preserve"> Söke Sağlık Hizmetleri Meslek Yüksekokulu Burs Komisyonunu,</w:t>
            </w:r>
          </w:p>
          <w:p w:rsidR="00A56754" w:rsidRPr="0008051F" w:rsidRDefault="00A56754" w:rsidP="00A56754">
            <w:pPr>
              <w:pStyle w:val="NormalWeb"/>
              <w:spacing w:before="0" w:beforeAutospacing="0" w:after="0" w:afterAutospacing="0"/>
              <w:ind w:left="709"/>
              <w:contextualSpacing/>
              <w:jc w:val="both"/>
            </w:pPr>
            <w:r w:rsidRPr="0008051F">
              <w:t xml:space="preserve">d) </w:t>
            </w:r>
            <w:r w:rsidRPr="00111D0D">
              <w:rPr>
                <w:rStyle w:val="Gl"/>
                <w:rFonts w:eastAsiaTheme="majorEastAsia"/>
              </w:rPr>
              <w:t>Başkan:</w:t>
            </w:r>
            <w:r w:rsidRPr="0008051F">
              <w:t xml:space="preserve"> Burs Komisyonu Başkanını,</w:t>
            </w:r>
          </w:p>
          <w:p w:rsidR="00A56754" w:rsidRPr="0008051F" w:rsidRDefault="00A56754" w:rsidP="00A56754">
            <w:pPr>
              <w:pStyle w:val="NormalWeb"/>
              <w:spacing w:before="0" w:beforeAutospacing="0" w:after="0" w:afterAutospacing="0"/>
              <w:ind w:left="709"/>
              <w:contextualSpacing/>
              <w:jc w:val="both"/>
            </w:pPr>
            <w:r w:rsidRPr="0008051F">
              <w:t xml:space="preserve">e) </w:t>
            </w:r>
            <w:r w:rsidRPr="00111D0D">
              <w:rPr>
                <w:rStyle w:val="Gl"/>
                <w:rFonts w:eastAsiaTheme="majorEastAsia"/>
              </w:rPr>
              <w:t>Raportör:</w:t>
            </w:r>
            <w:r w:rsidRPr="0008051F">
              <w:t xml:space="preserve"> Komisyon karar ve tutanaklarını yazılı hale getirerek kayıt altına alan komisyon üyesini,</w:t>
            </w:r>
          </w:p>
          <w:p w:rsidR="00A56754" w:rsidRPr="0008051F" w:rsidRDefault="00A56754" w:rsidP="00A56754">
            <w:pPr>
              <w:pStyle w:val="NormalWeb"/>
              <w:spacing w:before="0" w:beforeAutospacing="0" w:after="0" w:afterAutospacing="0"/>
              <w:ind w:left="709"/>
              <w:contextualSpacing/>
              <w:jc w:val="both"/>
            </w:pPr>
            <w:r w:rsidRPr="0008051F">
              <w:t xml:space="preserve">f) </w:t>
            </w:r>
            <w:r w:rsidRPr="00111D0D">
              <w:rPr>
                <w:rStyle w:val="Gl"/>
                <w:rFonts w:eastAsiaTheme="majorEastAsia"/>
              </w:rPr>
              <w:t>Üye:</w:t>
            </w:r>
            <w:r w:rsidRPr="0008051F">
              <w:t xml:space="preserve"> Burs Komisyonunda görevli öğretim elemanı/personelini ifade eder. </w:t>
            </w:r>
          </w:p>
          <w:p w:rsidR="00A56754" w:rsidRPr="0008051F" w:rsidRDefault="00A56754" w:rsidP="00A56754">
            <w:pPr>
              <w:rPr>
                <w:rFonts w:ascii="Times New Roman" w:hAnsi="Times New Roman" w:cs="Times New Roman"/>
                <w:sz w:val="24"/>
                <w:szCs w:val="24"/>
              </w:rPr>
            </w:pPr>
          </w:p>
          <w:p w:rsidR="00A56754" w:rsidRPr="0008051F" w:rsidRDefault="00A56754" w:rsidP="00A56754">
            <w:pPr>
              <w:jc w:val="center"/>
              <w:rPr>
                <w:rFonts w:ascii="Times New Roman" w:hAnsi="Times New Roman" w:cs="Times New Roman"/>
                <w:b/>
                <w:bCs/>
                <w:sz w:val="24"/>
                <w:szCs w:val="24"/>
              </w:rPr>
            </w:pPr>
            <w:r w:rsidRPr="0008051F">
              <w:rPr>
                <w:rFonts w:ascii="Times New Roman" w:hAnsi="Times New Roman" w:cs="Times New Roman"/>
                <w:b/>
                <w:bCs/>
                <w:sz w:val="24"/>
                <w:szCs w:val="24"/>
              </w:rPr>
              <w:t>İKİNCİ BÖLÜM</w:t>
            </w:r>
          </w:p>
          <w:p w:rsidR="00A56754" w:rsidRDefault="00A56754" w:rsidP="00A56754">
            <w:pPr>
              <w:pStyle w:val="NormalWeb"/>
              <w:spacing w:before="0" w:beforeAutospacing="0" w:after="0" w:afterAutospacing="0"/>
              <w:jc w:val="center"/>
              <w:rPr>
                <w:rStyle w:val="Gl"/>
                <w:rFonts w:eastAsiaTheme="majorEastAsia"/>
              </w:rPr>
            </w:pPr>
            <w:r w:rsidRPr="0008051F">
              <w:rPr>
                <w:rStyle w:val="Gl"/>
                <w:rFonts w:eastAsiaTheme="majorEastAsia"/>
              </w:rPr>
              <w:t xml:space="preserve">Komisyonun Oluşturulması ve </w:t>
            </w:r>
            <w:r>
              <w:rPr>
                <w:rStyle w:val="Gl"/>
                <w:rFonts w:eastAsiaTheme="majorEastAsia"/>
              </w:rPr>
              <w:t>Çalışma Esasları</w:t>
            </w:r>
          </w:p>
          <w:p w:rsidR="00A56754" w:rsidRPr="00672FBF" w:rsidRDefault="00A56754" w:rsidP="00A56754">
            <w:pPr>
              <w:spacing w:before="120"/>
              <w:jc w:val="both"/>
              <w:rPr>
                <w:rFonts w:ascii="Times New Roman" w:eastAsia="MS Mincho" w:hAnsi="Times New Roman" w:cs="Times New Roman"/>
                <w:sz w:val="24"/>
              </w:rPr>
            </w:pPr>
            <w:r w:rsidRPr="00672FBF">
              <w:rPr>
                <w:rFonts w:ascii="Times New Roman" w:eastAsia="MS Mincho" w:hAnsi="Times New Roman" w:cs="Times New Roman"/>
                <w:b/>
                <w:sz w:val="24"/>
              </w:rPr>
              <w:t>Komisyonun Oluşturulması</w:t>
            </w:r>
          </w:p>
          <w:p w:rsidR="00A56754" w:rsidRPr="0008051F" w:rsidRDefault="00A56754" w:rsidP="00A56754">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Madde 5</w:t>
            </w:r>
            <w:r w:rsidRPr="0008051F">
              <w:rPr>
                <w:rFonts w:ascii="Times New Roman" w:eastAsia="MS Mincho" w:hAnsi="Times New Roman" w:cs="Times New Roman"/>
                <w:sz w:val="24"/>
                <w:szCs w:val="24"/>
              </w:rPr>
              <w:t>- (1) Komisyonun oluşturulması</w:t>
            </w:r>
            <w:r>
              <w:rPr>
                <w:rFonts w:ascii="Times New Roman" w:eastAsia="MS Mincho" w:hAnsi="Times New Roman" w:cs="Times New Roman"/>
                <w:sz w:val="24"/>
                <w:szCs w:val="24"/>
              </w:rPr>
              <w:t>;</w:t>
            </w:r>
          </w:p>
          <w:p w:rsidR="00A56754" w:rsidRPr="0008051F" w:rsidRDefault="00A56754" w:rsidP="00A56754">
            <w:pPr>
              <w:pStyle w:val="ListeParagraf"/>
              <w:numPr>
                <w:ilvl w:val="0"/>
                <w:numId w:val="24"/>
              </w:numPr>
              <w:spacing w:after="80"/>
              <w:jc w:val="both"/>
              <w:rPr>
                <w:rFonts w:eastAsia="MS Mincho"/>
                <w:sz w:val="24"/>
                <w:szCs w:val="24"/>
              </w:rPr>
            </w:pPr>
            <w:r w:rsidRPr="0008051F">
              <w:rPr>
                <w:rFonts w:eastAsia="MS Mincho"/>
                <w:sz w:val="24"/>
                <w:szCs w:val="24"/>
              </w:rPr>
              <w:t xml:space="preserve">Komisyon; </w:t>
            </w:r>
            <w:bookmarkStart w:id="0" w:name="_Hlk221622045"/>
            <w:r w:rsidRPr="0008051F">
              <w:rPr>
                <w:rFonts w:eastAsia="MS Mincho"/>
                <w:sz w:val="24"/>
                <w:szCs w:val="24"/>
              </w:rPr>
              <w:t>Yüksekokul Müdürlüğünün önerisi ve Yüksekokul Yönetim Kurulu kararı ile oluşturulur.</w:t>
            </w:r>
          </w:p>
          <w:bookmarkEnd w:id="0"/>
          <w:p w:rsidR="00A56754" w:rsidRPr="0008051F" w:rsidRDefault="00A56754" w:rsidP="00A56754">
            <w:pPr>
              <w:pStyle w:val="ListeParagraf"/>
              <w:numPr>
                <w:ilvl w:val="0"/>
                <w:numId w:val="24"/>
              </w:numPr>
              <w:spacing w:after="80"/>
              <w:jc w:val="both"/>
              <w:rPr>
                <w:rFonts w:eastAsia="MS Mincho"/>
                <w:color w:val="000000" w:themeColor="text1"/>
                <w:sz w:val="24"/>
                <w:szCs w:val="24"/>
              </w:rPr>
            </w:pPr>
            <w:r w:rsidRPr="0008051F">
              <w:rPr>
                <w:color w:val="000000" w:themeColor="text1"/>
                <w:sz w:val="24"/>
                <w:szCs w:val="24"/>
              </w:rPr>
              <w:t>Komisyon; Meslek Yüksekokulundaki bölümlerde görevli öğretim elemanları ve üyeleri arasından belirlenen en az üç üye ve komisyon başkanından oluşur.</w:t>
            </w:r>
          </w:p>
          <w:p w:rsidR="00A56754" w:rsidRPr="0008051F" w:rsidRDefault="00A56754" w:rsidP="00A56754">
            <w:pPr>
              <w:pStyle w:val="ListeParagraf"/>
              <w:numPr>
                <w:ilvl w:val="0"/>
                <w:numId w:val="24"/>
              </w:numPr>
              <w:spacing w:after="80"/>
              <w:jc w:val="both"/>
              <w:rPr>
                <w:rFonts w:eastAsia="MS Mincho"/>
                <w:sz w:val="24"/>
                <w:szCs w:val="24"/>
              </w:rPr>
            </w:pPr>
            <w:r w:rsidRPr="0008051F">
              <w:rPr>
                <w:rFonts w:eastAsia="MS Mincho"/>
                <w:sz w:val="24"/>
                <w:szCs w:val="24"/>
              </w:rPr>
              <w:t>Komisyon üyelerinin görev süresi 2 (iki) yıldır. Süresi dolan üyeler, Yüksekokul Müdürlüğünün önerisi ve Yüksekokul Yönetim Kurulu kararı ile yeniden görevlendirilebilir.</w:t>
            </w:r>
          </w:p>
          <w:p w:rsidR="00A56754" w:rsidRPr="0008051F" w:rsidRDefault="00A56754" w:rsidP="00A56754">
            <w:pPr>
              <w:pStyle w:val="ListeParagraf"/>
              <w:numPr>
                <w:ilvl w:val="0"/>
                <w:numId w:val="24"/>
              </w:numPr>
              <w:spacing w:after="80"/>
              <w:jc w:val="both"/>
              <w:rPr>
                <w:rFonts w:eastAsia="MS Mincho"/>
                <w:sz w:val="24"/>
                <w:szCs w:val="24"/>
              </w:rPr>
            </w:pPr>
            <w:r w:rsidRPr="0008051F">
              <w:rPr>
                <w:rFonts w:eastAsia="MS Mincho"/>
                <w:sz w:val="24"/>
                <w:szCs w:val="24"/>
              </w:rPr>
              <w:lastRenderedPageBreak/>
              <w:t>Komisyon; ilk toplantısında kendi üyeleri arasından bir başkan yardımcısı ve bir raportör seçebilir.</w:t>
            </w:r>
          </w:p>
          <w:p w:rsidR="00A56754" w:rsidRPr="0008051F" w:rsidRDefault="00A56754" w:rsidP="00A56754">
            <w:pPr>
              <w:pStyle w:val="ListeParagraf"/>
              <w:numPr>
                <w:ilvl w:val="0"/>
                <w:numId w:val="24"/>
              </w:numPr>
              <w:spacing w:after="80"/>
              <w:jc w:val="both"/>
              <w:rPr>
                <w:rFonts w:eastAsia="MS Mincho"/>
                <w:sz w:val="24"/>
                <w:szCs w:val="24"/>
              </w:rPr>
            </w:pPr>
            <w:r w:rsidRPr="0008051F">
              <w:rPr>
                <w:sz w:val="24"/>
                <w:szCs w:val="24"/>
              </w:rPr>
              <w:t>Komisyon Başkanı olmadığı zaman başkanın önerdiği üyelerden biri başkana vekalet eder.</w:t>
            </w:r>
          </w:p>
          <w:p w:rsidR="00A56754" w:rsidRPr="0008051F" w:rsidRDefault="00A56754" w:rsidP="00C303FA">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Komisyonun Çalışma Esasları</w:t>
            </w:r>
          </w:p>
          <w:p w:rsidR="00A56754" w:rsidRPr="0008051F" w:rsidRDefault="00A56754" w:rsidP="00A56754">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Madde 6</w:t>
            </w:r>
            <w:r w:rsidRPr="0008051F">
              <w:rPr>
                <w:rFonts w:ascii="Times New Roman" w:eastAsia="MS Mincho" w:hAnsi="Times New Roman" w:cs="Times New Roman"/>
                <w:sz w:val="24"/>
                <w:szCs w:val="24"/>
              </w:rPr>
              <w:t>- (1) Komisyonun çalışma esasları</w:t>
            </w:r>
            <w:r>
              <w:rPr>
                <w:rFonts w:ascii="Times New Roman" w:eastAsia="MS Mincho" w:hAnsi="Times New Roman" w:cs="Times New Roman"/>
                <w:sz w:val="24"/>
                <w:szCs w:val="24"/>
              </w:rPr>
              <w:t>;</w:t>
            </w:r>
          </w:p>
          <w:p w:rsidR="00A56754" w:rsidRPr="0008051F" w:rsidRDefault="00A56754" w:rsidP="00A56754">
            <w:pPr>
              <w:pStyle w:val="ListeParagraf"/>
              <w:numPr>
                <w:ilvl w:val="0"/>
                <w:numId w:val="25"/>
              </w:numPr>
              <w:jc w:val="both"/>
              <w:rPr>
                <w:rFonts w:eastAsia="MS Mincho"/>
                <w:sz w:val="24"/>
                <w:szCs w:val="24"/>
              </w:rPr>
            </w:pPr>
            <w:r w:rsidRPr="0008051F">
              <w:rPr>
                <w:rFonts w:eastAsia="MS Mincho"/>
                <w:sz w:val="24"/>
                <w:szCs w:val="24"/>
              </w:rPr>
              <w:t>Komisyon yılda en az iki kez olağan olarak toplanır. Gerekli görüldüğünde başkanın çağrısı ile olağanüstü toplantı yapılabilir.</w:t>
            </w:r>
          </w:p>
          <w:p w:rsidR="00A56754" w:rsidRPr="0008051F" w:rsidRDefault="00A56754" w:rsidP="00A56754">
            <w:pPr>
              <w:pStyle w:val="ListeParagraf"/>
              <w:numPr>
                <w:ilvl w:val="0"/>
                <w:numId w:val="25"/>
              </w:numPr>
              <w:spacing w:after="80"/>
              <w:jc w:val="both"/>
              <w:rPr>
                <w:rFonts w:eastAsia="MS Mincho"/>
                <w:sz w:val="24"/>
                <w:szCs w:val="24"/>
              </w:rPr>
            </w:pPr>
            <w:r w:rsidRPr="0008051F">
              <w:rPr>
                <w:rFonts w:eastAsia="MS Mincho"/>
                <w:sz w:val="24"/>
                <w:szCs w:val="24"/>
              </w:rPr>
              <w:t>Toplantılar Komisyon Başkanının davetiyle yapılır; toplantı gündemi ve toplantıya ilişkin bilgi/belgeler en az üç gün önceden üyelere bildirilir.</w:t>
            </w:r>
          </w:p>
          <w:p w:rsidR="00A56754" w:rsidRPr="0008051F" w:rsidRDefault="00A56754" w:rsidP="00A56754">
            <w:pPr>
              <w:pStyle w:val="ListeParagraf"/>
              <w:numPr>
                <w:ilvl w:val="0"/>
                <w:numId w:val="25"/>
              </w:numPr>
              <w:spacing w:after="80"/>
              <w:jc w:val="both"/>
              <w:rPr>
                <w:rFonts w:eastAsia="MS Mincho"/>
                <w:sz w:val="24"/>
                <w:szCs w:val="24"/>
              </w:rPr>
            </w:pPr>
            <w:bookmarkStart w:id="1" w:name="_Hlk221621881"/>
            <w:r w:rsidRPr="0008051F">
              <w:rPr>
                <w:rFonts w:eastAsia="MS Mincho"/>
                <w:sz w:val="24"/>
                <w:szCs w:val="24"/>
              </w:rPr>
              <w:t>Komisyon üye tam sayısının salt çoğunluğu ile toplanır; kararlar toplantıya katılanların oy çokluğu ile alınır. Oyların eşitliği hâlinde Başkanın oyu yönünde karar alınmış sayılır</w:t>
            </w:r>
            <w:bookmarkEnd w:id="1"/>
            <w:r w:rsidRPr="0008051F">
              <w:rPr>
                <w:rFonts w:eastAsia="MS Mincho"/>
                <w:sz w:val="24"/>
                <w:szCs w:val="24"/>
              </w:rPr>
              <w:t>.</w:t>
            </w:r>
          </w:p>
          <w:p w:rsidR="00A56754" w:rsidRPr="0008051F" w:rsidRDefault="00A56754" w:rsidP="00A56754">
            <w:pPr>
              <w:pStyle w:val="ListeParagraf"/>
              <w:numPr>
                <w:ilvl w:val="0"/>
                <w:numId w:val="25"/>
              </w:numPr>
              <w:spacing w:after="80"/>
              <w:jc w:val="both"/>
              <w:rPr>
                <w:rFonts w:eastAsia="MS Mincho"/>
                <w:sz w:val="24"/>
                <w:szCs w:val="24"/>
              </w:rPr>
            </w:pPr>
            <w:r w:rsidRPr="0008051F">
              <w:rPr>
                <w:rFonts w:eastAsia="MS Mincho"/>
                <w:sz w:val="24"/>
                <w:szCs w:val="24"/>
              </w:rPr>
              <w:t>Her toplantı sonrası karar ve faaliyetleri içeren toplantı tutanağı hazırlanır; tutanaklar imzalanarak arşivlenir.</w:t>
            </w:r>
          </w:p>
          <w:p w:rsidR="00A56754" w:rsidRPr="0008051F" w:rsidRDefault="00A56754" w:rsidP="00C303FA">
            <w:pPr>
              <w:pStyle w:val="ListeParagraf"/>
              <w:numPr>
                <w:ilvl w:val="0"/>
                <w:numId w:val="25"/>
              </w:numPr>
              <w:rPr>
                <w:rFonts w:eastAsia="MS Mincho"/>
                <w:sz w:val="24"/>
                <w:szCs w:val="24"/>
              </w:rPr>
            </w:pPr>
            <w:r w:rsidRPr="0008051F">
              <w:rPr>
                <w:rFonts w:eastAsia="MS Mincho"/>
                <w:sz w:val="24"/>
                <w:szCs w:val="24"/>
              </w:rPr>
              <w:t>Komisyonun sekretarya/raportörlük ve yazışma-evrak işlemleri, Komisyon Başkanının koordinasyonunda Raportör tarafından yürütülür.</w:t>
            </w:r>
          </w:p>
          <w:p w:rsidR="00A56754" w:rsidRPr="0008051F" w:rsidRDefault="00A56754" w:rsidP="00C303FA">
            <w:pPr>
              <w:pStyle w:val="NormalWeb"/>
              <w:spacing w:before="0" w:beforeAutospacing="0" w:after="0" w:afterAutospacing="0"/>
            </w:pPr>
            <w:r w:rsidRPr="0008051F">
              <w:rPr>
                <w:rStyle w:val="Gl"/>
                <w:rFonts w:eastAsiaTheme="majorEastAsia"/>
              </w:rPr>
              <w:t>Madde 7-(1)</w:t>
            </w:r>
            <w:r w:rsidRPr="0008051F">
              <w:t>Başkanın görevleri</w:t>
            </w:r>
            <w:r>
              <w:t>;</w:t>
            </w:r>
          </w:p>
          <w:p w:rsidR="00A56754" w:rsidRPr="0008051F" w:rsidRDefault="00A56754" w:rsidP="00A56754">
            <w:pPr>
              <w:pStyle w:val="ListeParagraf"/>
              <w:numPr>
                <w:ilvl w:val="0"/>
                <w:numId w:val="22"/>
              </w:numPr>
              <w:jc w:val="both"/>
              <w:rPr>
                <w:sz w:val="24"/>
                <w:szCs w:val="24"/>
              </w:rPr>
            </w:pPr>
            <w:r w:rsidRPr="0008051F">
              <w:rPr>
                <w:sz w:val="24"/>
                <w:szCs w:val="24"/>
              </w:rPr>
              <w:t>Kurul çalışmalarının sürdürülmesini sağlamak ve çalışmaları yönetmek.</w:t>
            </w:r>
          </w:p>
          <w:p w:rsidR="00A56754" w:rsidRPr="0008051F" w:rsidRDefault="00A56754" w:rsidP="00A56754">
            <w:pPr>
              <w:pStyle w:val="ListeParagraf"/>
              <w:numPr>
                <w:ilvl w:val="0"/>
                <w:numId w:val="22"/>
              </w:numPr>
              <w:jc w:val="both"/>
              <w:rPr>
                <w:sz w:val="24"/>
                <w:szCs w:val="24"/>
              </w:rPr>
            </w:pPr>
            <w:r w:rsidRPr="0008051F">
              <w:rPr>
                <w:sz w:val="24"/>
                <w:szCs w:val="24"/>
              </w:rPr>
              <w:t>Kurulun çalışma takvimini belirlemek.</w:t>
            </w:r>
          </w:p>
          <w:p w:rsidR="00A56754" w:rsidRPr="0008051F" w:rsidRDefault="00A56754" w:rsidP="00A56754">
            <w:pPr>
              <w:pStyle w:val="ListeParagraf"/>
              <w:numPr>
                <w:ilvl w:val="0"/>
                <w:numId w:val="22"/>
              </w:numPr>
              <w:jc w:val="both"/>
              <w:rPr>
                <w:sz w:val="24"/>
                <w:szCs w:val="24"/>
              </w:rPr>
            </w:pPr>
            <w:r w:rsidRPr="0008051F">
              <w:rPr>
                <w:sz w:val="24"/>
                <w:szCs w:val="24"/>
              </w:rPr>
              <w:t>Kurulun çalışma takvimi doğrultusunda kurul üyelerini toplantıya davet etmek. İhtiyaca göre komisyonu özel gündemli/acil toplantıya çağırmak.</w:t>
            </w:r>
          </w:p>
          <w:p w:rsidR="00A56754" w:rsidRPr="0008051F" w:rsidRDefault="00A56754" w:rsidP="00A56754">
            <w:pPr>
              <w:pStyle w:val="ListeParagraf"/>
              <w:numPr>
                <w:ilvl w:val="0"/>
                <w:numId w:val="22"/>
              </w:numPr>
              <w:jc w:val="both"/>
              <w:rPr>
                <w:sz w:val="24"/>
                <w:szCs w:val="24"/>
              </w:rPr>
            </w:pPr>
            <w:r w:rsidRPr="0008051F">
              <w:rPr>
                <w:sz w:val="24"/>
                <w:szCs w:val="24"/>
              </w:rPr>
              <w:t>Gerekli gördüğü durumlarda alt çalışma birimleri oluşturmak.</w:t>
            </w:r>
          </w:p>
          <w:p w:rsidR="00A56754" w:rsidRPr="0008051F" w:rsidRDefault="00A56754" w:rsidP="00A56754">
            <w:pPr>
              <w:pStyle w:val="ListeParagraf"/>
              <w:numPr>
                <w:ilvl w:val="0"/>
                <w:numId w:val="22"/>
              </w:numPr>
              <w:jc w:val="both"/>
              <w:rPr>
                <w:sz w:val="24"/>
                <w:szCs w:val="24"/>
              </w:rPr>
            </w:pPr>
            <w:r w:rsidRPr="0008051F">
              <w:rPr>
                <w:sz w:val="24"/>
                <w:szCs w:val="24"/>
              </w:rPr>
              <w:t>Kurul üyeleri arasında görev dağılımı yapmak.</w:t>
            </w:r>
          </w:p>
          <w:p w:rsidR="00A56754" w:rsidRPr="0008051F" w:rsidRDefault="00A56754" w:rsidP="00A56754">
            <w:pPr>
              <w:pStyle w:val="ListeParagraf"/>
              <w:numPr>
                <w:ilvl w:val="0"/>
                <w:numId w:val="22"/>
              </w:numPr>
              <w:jc w:val="both"/>
              <w:rPr>
                <w:sz w:val="24"/>
                <w:szCs w:val="24"/>
              </w:rPr>
            </w:pPr>
            <w:r w:rsidRPr="0008051F">
              <w:rPr>
                <w:sz w:val="24"/>
                <w:szCs w:val="24"/>
              </w:rPr>
              <w:t xml:space="preserve">Kurulun toplantı tutanaklarını dosyalayıp arşivlenmesini sağlamak, </w:t>
            </w:r>
          </w:p>
          <w:p w:rsidR="00A56754" w:rsidRPr="0008051F" w:rsidRDefault="00A56754" w:rsidP="00A56754">
            <w:pPr>
              <w:pStyle w:val="ListeParagraf"/>
              <w:numPr>
                <w:ilvl w:val="0"/>
                <w:numId w:val="22"/>
              </w:numPr>
              <w:jc w:val="both"/>
              <w:rPr>
                <w:sz w:val="24"/>
                <w:szCs w:val="24"/>
              </w:rPr>
            </w:pPr>
            <w:r w:rsidRPr="0008051F">
              <w:rPr>
                <w:sz w:val="24"/>
                <w:szCs w:val="24"/>
              </w:rPr>
              <w:t xml:space="preserve">Kurulun belirlenen amaç ve faaliyet kapsamına uygun olarak verimli işlemesini sağlamak,  </w:t>
            </w:r>
          </w:p>
          <w:p w:rsidR="00A56754" w:rsidRPr="0008051F" w:rsidRDefault="00A56754" w:rsidP="00A56754">
            <w:pPr>
              <w:pStyle w:val="ListeParagraf"/>
              <w:numPr>
                <w:ilvl w:val="0"/>
                <w:numId w:val="22"/>
              </w:numPr>
              <w:jc w:val="both"/>
              <w:rPr>
                <w:sz w:val="24"/>
                <w:szCs w:val="24"/>
              </w:rPr>
            </w:pPr>
            <w:r w:rsidRPr="0008051F">
              <w:rPr>
                <w:sz w:val="24"/>
                <w:szCs w:val="24"/>
              </w:rPr>
              <w:t>Her eğitim – öğretim döneminin sonunda komisyonun faaliyet raporunu hazırlayarak ve Yüksekokul Müdürlüğüne iletmek.</w:t>
            </w:r>
          </w:p>
          <w:p w:rsidR="00A56754" w:rsidRPr="0008051F" w:rsidRDefault="00A56754" w:rsidP="00A56754">
            <w:pPr>
              <w:pStyle w:val="ListeParagraf"/>
              <w:numPr>
                <w:ilvl w:val="0"/>
                <w:numId w:val="22"/>
              </w:numPr>
              <w:jc w:val="both"/>
              <w:rPr>
                <w:sz w:val="24"/>
                <w:szCs w:val="24"/>
              </w:rPr>
            </w:pPr>
            <w:r w:rsidRPr="0008051F">
              <w:rPr>
                <w:sz w:val="24"/>
                <w:szCs w:val="24"/>
              </w:rPr>
              <w:t>Burs almaya hak kazanan öğrencilerin belirlenmesi sırasında bölüm öğretim üye/elemanlarından görüş almak.</w:t>
            </w:r>
          </w:p>
          <w:p w:rsidR="00A56754" w:rsidRPr="0008051F" w:rsidRDefault="00A56754" w:rsidP="00A56754">
            <w:pPr>
              <w:pStyle w:val="ListeParagraf"/>
              <w:numPr>
                <w:ilvl w:val="0"/>
                <w:numId w:val="22"/>
              </w:numPr>
              <w:jc w:val="both"/>
              <w:rPr>
                <w:sz w:val="24"/>
                <w:szCs w:val="24"/>
              </w:rPr>
            </w:pPr>
            <w:r w:rsidRPr="0008051F">
              <w:rPr>
                <w:sz w:val="24"/>
                <w:szCs w:val="24"/>
              </w:rPr>
              <w:t xml:space="preserve">Çeşitli kanallarla komisyona yönlendirilen ihtiyaç sahibi öğrenci ile ilgili durum tespiti yapmak ve gerekiyorsa öğrenciyi burs ve sosyal hizmetlerle ilgili kaynaklara yönlendirmek. </w:t>
            </w:r>
          </w:p>
          <w:p w:rsidR="00A56754" w:rsidRPr="0008051F" w:rsidRDefault="00A56754" w:rsidP="00A56754">
            <w:pPr>
              <w:pStyle w:val="ListeParagraf"/>
              <w:numPr>
                <w:ilvl w:val="0"/>
                <w:numId w:val="22"/>
              </w:numPr>
              <w:jc w:val="both"/>
              <w:rPr>
                <w:sz w:val="24"/>
                <w:szCs w:val="24"/>
              </w:rPr>
            </w:pPr>
            <w:r w:rsidRPr="0008051F">
              <w:rPr>
                <w:sz w:val="24"/>
                <w:szCs w:val="24"/>
              </w:rPr>
              <w:t>Burs Komisyonunu Yüksekokul içinde ve dışında temsil etmek.</w:t>
            </w:r>
          </w:p>
          <w:p w:rsidR="00A56754" w:rsidRPr="0008051F" w:rsidRDefault="00A56754" w:rsidP="00A56754">
            <w:pPr>
              <w:pStyle w:val="NormalWeb"/>
              <w:spacing w:before="0" w:beforeAutospacing="0" w:after="0" w:afterAutospacing="0"/>
              <w:rPr>
                <w:rStyle w:val="Gl"/>
                <w:rFonts w:eastAsiaTheme="majorEastAsia"/>
              </w:rPr>
            </w:pPr>
            <w:r w:rsidRPr="0008051F">
              <w:rPr>
                <w:rStyle w:val="Gl"/>
                <w:rFonts w:eastAsiaTheme="majorEastAsia"/>
              </w:rPr>
              <w:t>Madde 8-</w:t>
            </w:r>
            <w:r w:rsidRPr="0008051F">
              <w:t xml:space="preserve">(1) </w:t>
            </w:r>
            <w:r w:rsidRPr="0008051F">
              <w:rPr>
                <w:rStyle w:val="Gl"/>
                <w:rFonts w:eastAsiaTheme="majorEastAsia"/>
              </w:rPr>
              <w:t>Raportörün Görevleri</w:t>
            </w:r>
            <w:r>
              <w:rPr>
                <w:rStyle w:val="Gl"/>
                <w:rFonts w:eastAsiaTheme="majorEastAsia"/>
              </w:rPr>
              <w:t>;</w:t>
            </w:r>
          </w:p>
          <w:p w:rsidR="00A56754" w:rsidRPr="0008051F" w:rsidRDefault="00A56754" w:rsidP="00A56754">
            <w:pPr>
              <w:pStyle w:val="NormalWeb"/>
              <w:numPr>
                <w:ilvl w:val="1"/>
                <w:numId w:val="26"/>
              </w:numPr>
              <w:spacing w:before="0" w:beforeAutospacing="0" w:after="0" w:afterAutospacing="0"/>
              <w:contextualSpacing/>
              <w:jc w:val="both"/>
            </w:pPr>
            <w:r w:rsidRPr="0008051F">
              <w:t>Toplantı tutanaklarını yazmak, kararları kayıt altına almak ve imza sürecini yürütmek.</w:t>
            </w:r>
          </w:p>
          <w:p w:rsidR="00A56754" w:rsidRPr="0008051F" w:rsidRDefault="00A56754" w:rsidP="00A56754">
            <w:pPr>
              <w:pStyle w:val="NormalWeb"/>
              <w:numPr>
                <w:ilvl w:val="1"/>
                <w:numId w:val="26"/>
              </w:numPr>
              <w:spacing w:before="0" w:beforeAutospacing="0" w:after="0" w:afterAutospacing="0"/>
              <w:contextualSpacing/>
              <w:jc w:val="both"/>
            </w:pPr>
            <w:r w:rsidRPr="0008051F">
              <w:t>Tutanak ve eklerini Komisyon Karar Dosyasında güvenli şekilde arşivlemek.</w:t>
            </w:r>
          </w:p>
          <w:p w:rsidR="00A56754" w:rsidRPr="0008051F" w:rsidRDefault="00A56754" w:rsidP="00A56754">
            <w:pPr>
              <w:pStyle w:val="NormalWeb"/>
              <w:numPr>
                <w:ilvl w:val="1"/>
                <w:numId w:val="26"/>
              </w:numPr>
              <w:spacing w:before="0" w:beforeAutospacing="0" w:after="0" w:afterAutospacing="0"/>
              <w:contextualSpacing/>
              <w:jc w:val="both"/>
            </w:pPr>
            <w:r w:rsidRPr="0008051F">
              <w:t>Komisyon yazışmalarında Başkanla koordineli olarak gerekli metinleri hazırlamak.</w:t>
            </w:r>
          </w:p>
          <w:p w:rsidR="00A56754" w:rsidRPr="0008051F" w:rsidRDefault="00A56754" w:rsidP="00A56754">
            <w:pPr>
              <w:pStyle w:val="NormalWeb"/>
              <w:spacing w:before="0" w:beforeAutospacing="0" w:after="0" w:afterAutospacing="0"/>
              <w:contextualSpacing/>
            </w:pPr>
            <w:r w:rsidRPr="0008051F">
              <w:rPr>
                <w:rStyle w:val="Gl"/>
                <w:rFonts w:eastAsiaTheme="majorEastAsia"/>
              </w:rPr>
              <w:t>Madde 9-(1)</w:t>
            </w:r>
            <w:r w:rsidRPr="0008051F">
              <w:t>Üyelerin görevleri</w:t>
            </w:r>
            <w:r>
              <w:t>;</w:t>
            </w:r>
          </w:p>
          <w:p w:rsidR="00A56754" w:rsidRPr="0008051F" w:rsidRDefault="00A56754" w:rsidP="00A56754">
            <w:pPr>
              <w:pStyle w:val="ListeParagraf"/>
              <w:numPr>
                <w:ilvl w:val="0"/>
                <w:numId w:val="23"/>
              </w:numPr>
              <w:jc w:val="both"/>
              <w:rPr>
                <w:color w:val="333333"/>
                <w:sz w:val="24"/>
                <w:szCs w:val="24"/>
                <w:shd w:val="clear" w:color="auto" w:fill="FFFFFF"/>
              </w:rPr>
            </w:pPr>
            <w:r w:rsidRPr="0008051F">
              <w:rPr>
                <w:sz w:val="24"/>
                <w:szCs w:val="24"/>
              </w:rPr>
              <w:t>Komisyon başkanı tarafından verilen görev ve sorumlulukları yerine getirmek.</w:t>
            </w:r>
          </w:p>
          <w:p w:rsidR="00A56754" w:rsidRPr="0008051F" w:rsidRDefault="00A56754" w:rsidP="00A56754">
            <w:pPr>
              <w:pStyle w:val="ListeParagraf"/>
              <w:numPr>
                <w:ilvl w:val="0"/>
                <w:numId w:val="23"/>
              </w:numPr>
              <w:jc w:val="both"/>
              <w:rPr>
                <w:color w:val="333333"/>
                <w:sz w:val="24"/>
                <w:szCs w:val="24"/>
                <w:shd w:val="clear" w:color="auto" w:fill="FFFFFF"/>
              </w:rPr>
            </w:pPr>
            <w:r w:rsidRPr="0008051F">
              <w:rPr>
                <w:sz w:val="24"/>
                <w:szCs w:val="24"/>
              </w:rPr>
              <w:t>Komisyonla ilgili alınacak kararlarda aktif görev almak.</w:t>
            </w:r>
          </w:p>
          <w:p w:rsidR="00A56754" w:rsidRPr="0008051F" w:rsidRDefault="00A56754" w:rsidP="00A56754">
            <w:pPr>
              <w:pStyle w:val="ListeParagraf"/>
              <w:numPr>
                <w:ilvl w:val="0"/>
                <w:numId w:val="23"/>
              </w:numPr>
              <w:jc w:val="both"/>
              <w:rPr>
                <w:color w:val="333333"/>
                <w:sz w:val="24"/>
                <w:szCs w:val="24"/>
                <w:shd w:val="clear" w:color="auto" w:fill="FFFFFF"/>
              </w:rPr>
            </w:pPr>
            <w:r w:rsidRPr="0008051F">
              <w:rPr>
                <w:sz w:val="24"/>
                <w:szCs w:val="24"/>
              </w:rPr>
              <w:t>Yemek bursu ve kısmi zamanlı çalışma bursu işlemlerini üniversitenin ilgili yönetmelikleri ve kuralları çerçevesinde yapmak (Aydın Adnan Menderes Üniversitesi Öğrenci Yemek Bursu Yönergesi ve SKS</w:t>
            </w:r>
            <w:r>
              <w:rPr>
                <w:sz w:val="24"/>
                <w:szCs w:val="24"/>
              </w:rPr>
              <w:t xml:space="preserve"> </w:t>
            </w:r>
            <w:r w:rsidRPr="0008051F">
              <w:rPr>
                <w:color w:val="333333"/>
                <w:sz w:val="24"/>
                <w:szCs w:val="24"/>
                <w:shd w:val="clear" w:color="auto" w:fill="FFFFFF"/>
              </w:rPr>
              <w:t>kısmi zamanlı öğrenci ve öğrenci çalıştıran birimlerin</w:t>
            </w:r>
            <w:r w:rsidRPr="0008051F">
              <w:rPr>
                <w:color w:val="333333"/>
                <w:sz w:val="24"/>
                <w:szCs w:val="24"/>
              </w:rPr>
              <w:br/>
            </w:r>
            <w:r w:rsidRPr="0008051F">
              <w:rPr>
                <w:color w:val="333333"/>
                <w:sz w:val="24"/>
                <w:szCs w:val="24"/>
                <w:shd w:val="clear" w:color="auto" w:fill="FFFFFF"/>
              </w:rPr>
              <w:t>dikkat edecekleri hususlar).</w:t>
            </w:r>
          </w:p>
          <w:p w:rsidR="00A56754" w:rsidRPr="0008051F" w:rsidRDefault="00A56754" w:rsidP="00A56754">
            <w:pPr>
              <w:pStyle w:val="ListeParagraf"/>
              <w:numPr>
                <w:ilvl w:val="0"/>
                <w:numId w:val="23"/>
              </w:numPr>
              <w:jc w:val="both"/>
              <w:rPr>
                <w:sz w:val="24"/>
                <w:szCs w:val="24"/>
              </w:rPr>
            </w:pPr>
            <w:r w:rsidRPr="0008051F">
              <w:rPr>
                <w:sz w:val="24"/>
                <w:szCs w:val="24"/>
              </w:rPr>
              <w:t>Burs ve kısmi zamanlı çalışma süreçlerinin şeffaf ve adil şekilde yürütülmesini denetlemek.</w:t>
            </w:r>
          </w:p>
          <w:p w:rsidR="00A56754" w:rsidRPr="0008051F" w:rsidRDefault="00A56754" w:rsidP="00A56754">
            <w:pPr>
              <w:pStyle w:val="ListeParagraf"/>
              <w:numPr>
                <w:ilvl w:val="0"/>
                <w:numId w:val="23"/>
              </w:numPr>
              <w:jc w:val="both"/>
              <w:rPr>
                <w:sz w:val="24"/>
                <w:szCs w:val="24"/>
              </w:rPr>
            </w:pPr>
            <w:r w:rsidRPr="0008051F">
              <w:rPr>
                <w:sz w:val="24"/>
                <w:szCs w:val="24"/>
              </w:rPr>
              <w:t>Yardım ve destek gereksinimi olan öğrencilerin veya personelin durumunu belirlemek.</w:t>
            </w:r>
          </w:p>
          <w:p w:rsidR="00A56754" w:rsidRPr="0008051F" w:rsidRDefault="00A56754" w:rsidP="00A56754">
            <w:pPr>
              <w:pStyle w:val="ListeParagraf"/>
              <w:numPr>
                <w:ilvl w:val="0"/>
                <w:numId w:val="23"/>
              </w:numPr>
              <w:jc w:val="both"/>
              <w:rPr>
                <w:sz w:val="24"/>
                <w:szCs w:val="24"/>
              </w:rPr>
            </w:pPr>
            <w:r w:rsidRPr="0008051F">
              <w:rPr>
                <w:sz w:val="24"/>
                <w:szCs w:val="24"/>
              </w:rPr>
              <w:t>Yardım ihtiyacı olan öğrencileri belirlemek için danışman öğretim elemanları ile iletişime geçmek ve fikir alışverişinde bulunmak.</w:t>
            </w:r>
          </w:p>
          <w:p w:rsidR="00A56754" w:rsidRPr="0008051F" w:rsidRDefault="00A56754" w:rsidP="00A56754">
            <w:pPr>
              <w:pStyle w:val="ListeParagraf"/>
              <w:numPr>
                <w:ilvl w:val="0"/>
                <w:numId w:val="23"/>
              </w:numPr>
              <w:jc w:val="both"/>
              <w:rPr>
                <w:sz w:val="24"/>
                <w:szCs w:val="24"/>
              </w:rPr>
            </w:pPr>
            <w:r w:rsidRPr="0008051F">
              <w:rPr>
                <w:sz w:val="24"/>
                <w:szCs w:val="24"/>
              </w:rPr>
              <w:t>Yardıma ihtiyacı olan öğrencilerle görüşme yaparak ihtiyaç tespitini yapmak.</w:t>
            </w:r>
          </w:p>
          <w:p w:rsidR="00A56754" w:rsidRPr="0008051F" w:rsidRDefault="00A56754" w:rsidP="00A56754">
            <w:pPr>
              <w:pStyle w:val="ListeParagraf"/>
              <w:numPr>
                <w:ilvl w:val="0"/>
                <w:numId w:val="23"/>
              </w:numPr>
              <w:jc w:val="both"/>
              <w:rPr>
                <w:sz w:val="24"/>
                <w:szCs w:val="24"/>
              </w:rPr>
            </w:pPr>
            <w:r w:rsidRPr="0008051F">
              <w:rPr>
                <w:sz w:val="24"/>
                <w:szCs w:val="24"/>
              </w:rPr>
              <w:t>Yardım kampanyaları, burs, bağış ve sosyal destek faaliyetlerini planlamak ve yürütmek.</w:t>
            </w:r>
          </w:p>
          <w:p w:rsidR="00A56754" w:rsidRPr="0008051F" w:rsidRDefault="00A56754" w:rsidP="00A56754">
            <w:pPr>
              <w:pStyle w:val="ListeParagraf"/>
              <w:numPr>
                <w:ilvl w:val="0"/>
                <w:numId w:val="23"/>
              </w:numPr>
              <w:jc w:val="both"/>
              <w:rPr>
                <w:sz w:val="24"/>
                <w:szCs w:val="24"/>
              </w:rPr>
            </w:pPr>
            <w:r w:rsidRPr="0008051F">
              <w:rPr>
                <w:sz w:val="24"/>
                <w:szCs w:val="24"/>
              </w:rPr>
              <w:t>Yardım süreçleri ve başvuru koşulları hakkında öğrencilere ve personele bilgi vermek.</w:t>
            </w:r>
          </w:p>
          <w:p w:rsidR="00A56754" w:rsidRPr="0008051F" w:rsidRDefault="00A56754" w:rsidP="00A56754">
            <w:pPr>
              <w:pStyle w:val="ListeParagraf"/>
              <w:numPr>
                <w:ilvl w:val="0"/>
                <w:numId w:val="23"/>
              </w:numPr>
              <w:jc w:val="both"/>
              <w:rPr>
                <w:sz w:val="24"/>
                <w:szCs w:val="24"/>
              </w:rPr>
            </w:pPr>
            <w:r w:rsidRPr="0008051F">
              <w:rPr>
                <w:sz w:val="24"/>
                <w:szCs w:val="24"/>
              </w:rPr>
              <w:t>Yüksekokul yönetimi, öğrenci işleri ve diğer ilgili birimlerle koordinasyonu sağlamak.</w:t>
            </w:r>
          </w:p>
          <w:p w:rsidR="00A56754" w:rsidRPr="0008051F" w:rsidRDefault="00A56754" w:rsidP="00A56754">
            <w:pPr>
              <w:pStyle w:val="ListeParagraf"/>
              <w:numPr>
                <w:ilvl w:val="0"/>
                <w:numId w:val="23"/>
              </w:numPr>
              <w:jc w:val="both"/>
              <w:rPr>
                <w:sz w:val="24"/>
                <w:szCs w:val="24"/>
              </w:rPr>
            </w:pPr>
            <w:r w:rsidRPr="0008051F">
              <w:rPr>
                <w:sz w:val="24"/>
                <w:szCs w:val="24"/>
              </w:rPr>
              <w:lastRenderedPageBreak/>
              <w:t>Dış kurum ve kuruluşlarla iş birliği yaparak destek kaynaklarını artırmak için çalışmak.</w:t>
            </w:r>
          </w:p>
          <w:p w:rsidR="00A56754" w:rsidRPr="0008051F" w:rsidRDefault="00A56754" w:rsidP="00A56754">
            <w:pPr>
              <w:pStyle w:val="ListeParagraf"/>
              <w:numPr>
                <w:ilvl w:val="0"/>
                <w:numId w:val="23"/>
              </w:numPr>
              <w:jc w:val="both"/>
              <w:rPr>
                <w:sz w:val="24"/>
                <w:szCs w:val="24"/>
              </w:rPr>
            </w:pPr>
            <w:r w:rsidRPr="0008051F">
              <w:rPr>
                <w:sz w:val="24"/>
                <w:szCs w:val="24"/>
              </w:rPr>
              <w:t xml:space="preserve">Komisyon raporlarının düzenlenmesinde görev almak.  </w:t>
            </w:r>
          </w:p>
          <w:p w:rsidR="00A56754" w:rsidRPr="0008051F" w:rsidRDefault="00A56754" w:rsidP="00A56754">
            <w:pPr>
              <w:pStyle w:val="ListeParagraf"/>
              <w:numPr>
                <w:ilvl w:val="0"/>
                <w:numId w:val="23"/>
              </w:numPr>
              <w:jc w:val="both"/>
              <w:rPr>
                <w:sz w:val="24"/>
                <w:szCs w:val="24"/>
              </w:rPr>
            </w:pPr>
            <w:r w:rsidRPr="0008051F">
              <w:rPr>
                <w:sz w:val="24"/>
                <w:szCs w:val="24"/>
              </w:rPr>
              <w:t>Komisyon kararlarının uygulanmasını takip etmek</w:t>
            </w:r>
          </w:p>
          <w:p w:rsidR="00A56754" w:rsidRPr="0008051F" w:rsidRDefault="00A56754" w:rsidP="00A56754">
            <w:pPr>
              <w:rPr>
                <w:rFonts w:ascii="Times New Roman" w:hAnsi="Times New Roman" w:cs="Times New Roman"/>
                <w:b/>
                <w:bCs/>
                <w:sz w:val="24"/>
                <w:szCs w:val="24"/>
              </w:rPr>
            </w:pPr>
          </w:p>
          <w:p w:rsidR="00A56754" w:rsidRDefault="00A56754" w:rsidP="00A56754">
            <w:pPr>
              <w:jc w:val="center"/>
              <w:rPr>
                <w:rFonts w:ascii="Times New Roman" w:hAnsi="Times New Roman" w:cs="Times New Roman"/>
                <w:b/>
                <w:bCs/>
                <w:sz w:val="24"/>
                <w:szCs w:val="24"/>
              </w:rPr>
            </w:pPr>
            <w:r w:rsidRPr="0008051F">
              <w:rPr>
                <w:rFonts w:ascii="Times New Roman" w:hAnsi="Times New Roman" w:cs="Times New Roman"/>
                <w:b/>
                <w:bCs/>
                <w:sz w:val="24"/>
                <w:szCs w:val="24"/>
              </w:rPr>
              <w:t>ÜÇÜNCÜ BÖLÜM</w:t>
            </w:r>
          </w:p>
          <w:p w:rsidR="00A56754" w:rsidRPr="00672FBF" w:rsidRDefault="00A56754" w:rsidP="00A56754">
            <w:pPr>
              <w:jc w:val="center"/>
              <w:rPr>
                <w:rFonts w:ascii="Times New Roman" w:eastAsia="MS Mincho" w:hAnsi="Times New Roman" w:cs="Times New Roman"/>
                <w:sz w:val="24"/>
              </w:rPr>
            </w:pPr>
            <w:r w:rsidRPr="00672FBF">
              <w:rPr>
                <w:rFonts w:ascii="Times New Roman" w:eastAsia="MS Mincho" w:hAnsi="Times New Roman" w:cs="Times New Roman"/>
                <w:b/>
                <w:sz w:val="24"/>
              </w:rPr>
              <w:t>Çeşitli ve Son Hükümler</w:t>
            </w:r>
          </w:p>
          <w:p w:rsidR="00A56754" w:rsidRPr="0008051F" w:rsidRDefault="00A56754" w:rsidP="00C303FA">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Hüküm Bulunmayan Hâller</w:t>
            </w:r>
          </w:p>
          <w:p w:rsidR="00A56754" w:rsidRPr="0008051F" w:rsidRDefault="00A56754" w:rsidP="00C303FA">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Madde 10</w:t>
            </w:r>
            <w:r w:rsidRPr="0008051F">
              <w:rPr>
                <w:rFonts w:ascii="Times New Roman" w:eastAsia="MS Mincho" w:hAnsi="Times New Roman" w:cs="Times New Roman"/>
                <w:sz w:val="24"/>
                <w:szCs w:val="24"/>
              </w:rPr>
              <w:t>- (1) Bu usul ve esaslarda hüküm bulunmayan hâllerde ilgili mevzuat hükümleri uygulanır.</w:t>
            </w:r>
          </w:p>
          <w:p w:rsidR="00A56754" w:rsidRPr="0008051F" w:rsidRDefault="00A56754" w:rsidP="00C303FA">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Yürürlük</w:t>
            </w:r>
          </w:p>
          <w:p w:rsidR="00A56754" w:rsidRPr="0008051F" w:rsidRDefault="00A56754" w:rsidP="00C303FA">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Madde 11</w:t>
            </w:r>
            <w:r w:rsidRPr="0008051F">
              <w:rPr>
                <w:rFonts w:ascii="Times New Roman" w:eastAsia="MS Mincho" w:hAnsi="Times New Roman" w:cs="Times New Roman"/>
                <w:sz w:val="24"/>
                <w:szCs w:val="24"/>
              </w:rPr>
              <w:t>- (1) Bu usul ve esaslar, Söke Sağlık Hizmetleri Meslek Yüksekokulu Yönetim Kurulunun onayı ile yürürlüğe girer.</w:t>
            </w:r>
          </w:p>
          <w:p w:rsidR="00A56754" w:rsidRPr="0008051F" w:rsidRDefault="00A56754" w:rsidP="00C303FA">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Yürütme</w:t>
            </w:r>
          </w:p>
          <w:p w:rsidR="00A56754" w:rsidRPr="0008051F" w:rsidRDefault="00A56754" w:rsidP="00C303FA">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Madde 12</w:t>
            </w:r>
            <w:r w:rsidRPr="0008051F">
              <w:rPr>
                <w:rFonts w:ascii="Times New Roman" w:eastAsia="MS Mincho" w:hAnsi="Times New Roman" w:cs="Times New Roman"/>
                <w:sz w:val="24"/>
                <w:szCs w:val="24"/>
              </w:rPr>
              <w:t>- (1) Bu usul ve esasların hükümlerini Söke Sağlık Hizmetleri Meslek Yüksekokulu Müdürlüğü yürütür.</w:t>
            </w:r>
          </w:p>
          <w:p w:rsidR="00A56754" w:rsidRPr="0008051F" w:rsidRDefault="00A56754" w:rsidP="00C303FA">
            <w:pPr>
              <w:jc w:val="both"/>
              <w:rPr>
                <w:rFonts w:ascii="Times New Roman" w:eastAsia="MS Mincho" w:hAnsi="Times New Roman" w:cs="Times New Roman"/>
                <w:sz w:val="24"/>
                <w:szCs w:val="24"/>
              </w:rPr>
            </w:pPr>
            <w:r w:rsidRPr="0008051F">
              <w:rPr>
                <w:rFonts w:ascii="Times New Roman" w:eastAsia="MS Mincho" w:hAnsi="Times New Roman" w:cs="Times New Roman"/>
                <w:b/>
                <w:sz w:val="24"/>
                <w:szCs w:val="24"/>
              </w:rPr>
              <w:t>Değişiklik</w:t>
            </w:r>
          </w:p>
          <w:p w:rsidR="00A56754" w:rsidRPr="0008051F" w:rsidRDefault="00A56754" w:rsidP="00C303FA">
            <w:pPr>
              <w:jc w:val="both"/>
              <w:rPr>
                <w:rFonts w:ascii="Times New Roman" w:hAnsi="Times New Roman" w:cs="Times New Roman"/>
                <w:sz w:val="24"/>
                <w:szCs w:val="24"/>
              </w:rPr>
            </w:pPr>
            <w:r w:rsidRPr="0008051F">
              <w:rPr>
                <w:rFonts w:ascii="Times New Roman" w:eastAsia="MS Mincho" w:hAnsi="Times New Roman" w:cs="Times New Roman"/>
                <w:b/>
                <w:sz w:val="24"/>
                <w:szCs w:val="24"/>
              </w:rPr>
              <w:t>Madde 13</w:t>
            </w:r>
            <w:r w:rsidRPr="0008051F">
              <w:rPr>
                <w:rFonts w:ascii="Times New Roman" w:eastAsia="MS Mincho" w:hAnsi="Times New Roman" w:cs="Times New Roman"/>
                <w:sz w:val="24"/>
                <w:szCs w:val="24"/>
              </w:rPr>
              <w:t xml:space="preserve">- (1) Bu usul ve esaslarda yapılması önerilen değişiklikler, Burs Komisyonu kararıyla Yüksekokul Müdürlüğüne sunulur. </w:t>
            </w:r>
            <w:r w:rsidR="00727F3B">
              <w:rPr>
                <w:rFonts w:ascii="Times New Roman" w:eastAsia="MS Mincho" w:hAnsi="Times New Roman" w:cs="Times New Roman"/>
                <w:kern w:val="0"/>
                <w:sz w:val="24"/>
              </w:rPr>
              <w:t xml:space="preserve">Yüksekokul </w:t>
            </w:r>
            <w:r w:rsidRPr="0008051F">
              <w:rPr>
                <w:rFonts w:ascii="Times New Roman" w:eastAsia="MS Mincho" w:hAnsi="Times New Roman" w:cs="Times New Roman"/>
                <w:sz w:val="24"/>
                <w:szCs w:val="24"/>
              </w:rPr>
              <w:t>Yönetim Kurulu onayı ile yürürlüğe girer.</w:t>
            </w:r>
          </w:p>
          <w:p w:rsidR="007815A1" w:rsidRDefault="007815A1" w:rsidP="00A56754"/>
        </w:tc>
      </w:tr>
    </w:tbl>
    <w:p w:rsidR="007B0D37" w:rsidRDefault="007B0D37" w:rsidP="00A56754">
      <w:pPr>
        <w:spacing w:after="0" w:line="240" w:lineRule="auto"/>
      </w:pPr>
    </w:p>
    <w:sectPr w:rsidR="007B0D37" w:rsidSect="001D3C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6BB" w:rsidRDefault="00FB66BB" w:rsidP="001D3C65">
      <w:pPr>
        <w:spacing w:after="0" w:line="240" w:lineRule="auto"/>
      </w:pPr>
      <w:r>
        <w:separator/>
      </w:r>
    </w:p>
  </w:endnote>
  <w:endnote w:type="continuationSeparator" w:id="1">
    <w:p w:rsidR="00FB66BB" w:rsidRDefault="00FB66BB"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54" w:rsidRDefault="00A5675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54" w:rsidRDefault="00A5675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54" w:rsidRDefault="00A5675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6BB" w:rsidRDefault="00FB66BB" w:rsidP="001D3C65">
      <w:pPr>
        <w:spacing w:after="0" w:line="240" w:lineRule="auto"/>
      </w:pPr>
      <w:r>
        <w:separator/>
      </w:r>
    </w:p>
  </w:footnote>
  <w:footnote w:type="continuationSeparator" w:id="1">
    <w:p w:rsidR="00FB66BB" w:rsidRDefault="00FB66BB"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54" w:rsidRDefault="00A5675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54" w:rsidRDefault="00A56754">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SSH-USE-00005</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C303FA" w:rsidRDefault="00A56754" w:rsidP="001D3C65">
          <w:pPr>
            <w:spacing w:after="0" w:line="276" w:lineRule="auto"/>
            <w:jc w:val="center"/>
            <w:rPr>
              <w:rFonts w:ascii="Times New Roman" w:hAnsi="Times New Roman" w:cs="Times New Roman"/>
              <w:b/>
              <w:bCs/>
              <w:sz w:val="24"/>
              <w:szCs w:val="24"/>
            </w:rPr>
          </w:pPr>
          <w:r w:rsidRPr="00C303FA">
            <w:rPr>
              <w:rFonts w:ascii="Times New Roman" w:hAnsi="Times New Roman" w:cs="Times New Roman"/>
              <w:b/>
              <w:bCs/>
              <w:sz w:val="24"/>
              <w:szCs w:val="24"/>
            </w:rPr>
            <w:t>BURS KOMİSYONU USUL VE ESASLARI</w:t>
          </w:r>
          <w:r w:rsidR="008B69A2" w:rsidRPr="00C303FA">
            <w:rPr>
              <w:rFonts w:ascii="Times New Roman" w:hAnsi="Times New Roman" w:cs="Times New Roman"/>
              <w:b/>
              <w:bCs/>
              <w:sz w:val="24"/>
              <w:szCs w:val="24"/>
            </w:rPr>
            <w:t xml:space="preserve"> </w:t>
          </w:r>
        </w:p>
      </w:tc>
    </w:tr>
  </w:tbl>
  <w:p w:rsidR="001D3C65" w:rsidRDefault="001D3C6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238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47C73"/>
    <w:multiLevelType w:val="hybridMultilevel"/>
    <w:tmpl w:val="3C722F9E"/>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9BE67F4"/>
    <w:multiLevelType w:val="hybridMultilevel"/>
    <w:tmpl w:val="C62E4F4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3">
    <w:nsid w:val="133E545A"/>
    <w:multiLevelType w:val="hybridMultilevel"/>
    <w:tmpl w:val="EE0CE02E"/>
    <w:lvl w:ilvl="0" w:tplc="F2949908">
      <w:start w:val="1"/>
      <w:numFmt w:val="lowerLetter"/>
      <w:lvlText w:val="%1)"/>
      <w:lvlJc w:val="left"/>
      <w:pPr>
        <w:ind w:left="360" w:hanging="360"/>
      </w:pPr>
      <w:rPr>
        <w:b w:val="0"/>
        <w:bCs w:val="0"/>
      </w:rPr>
    </w:lvl>
    <w:lvl w:ilvl="1" w:tplc="FFFFFFFF">
      <w:start w:val="1"/>
      <w:numFmt w:val="lowerLetter"/>
      <w:lvlText w:val="%2)"/>
      <w:lvlJc w:val="left"/>
      <w:pPr>
        <w:ind w:left="36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14566ACB"/>
    <w:multiLevelType w:val="hybridMultilevel"/>
    <w:tmpl w:val="4C107CD4"/>
    <w:lvl w:ilvl="0" w:tplc="041F0017">
      <w:start w:val="1"/>
      <w:numFmt w:val="lowerLetter"/>
      <w:lvlText w:val="%1)"/>
      <w:lvlJc w:val="left"/>
      <w:pPr>
        <w:ind w:left="360" w:hanging="360"/>
      </w:pPr>
      <w:rPr>
        <w:rFonts w:hint="default"/>
        <w:b w:val="0"/>
        <w:bCs/>
      </w:rPr>
    </w:lvl>
    <w:lvl w:ilvl="1" w:tplc="2C865FDE">
      <w:start w:val="1"/>
      <w:numFmt w:val="lowerLetter"/>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8CE5F73"/>
    <w:multiLevelType w:val="hybridMultilevel"/>
    <w:tmpl w:val="7D3E4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8F40784"/>
    <w:multiLevelType w:val="hybridMultilevel"/>
    <w:tmpl w:val="D676E68C"/>
    <w:lvl w:ilvl="0" w:tplc="1E70001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59742F1"/>
    <w:multiLevelType w:val="hybridMultilevel"/>
    <w:tmpl w:val="D6AC0252"/>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34711EE6"/>
    <w:multiLevelType w:val="hybridMultilevel"/>
    <w:tmpl w:val="10BE8A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20A2C15"/>
    <w:multiLevelType w:val="hybridMultilevel"/>
    <w:tmpl w:val="1BC01B7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nsid w:val="4FA821AB"/>
    <w:multiLevelType w:val="hybridMultilevel"/>
    <w:tmpl w:val="3BF80254"/>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1">
    <w:nsid w:val="556B4482"/>
    <w:multiLevelType w:val="hybridMultilevel"/>
    <w:tmpl w:val="DB9A4D1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5BD42980"/>
    <w:multiLevelType w:val="hybridMultilevel"/>
    <w:tmpl w:val="A29481D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5C101EB7"/>
    <w:multiLevelType w:val="hybridMultilevel"/>
    <w:tmpl w:val="62640300"/>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ED01599"/>
    <w:multiLevelType w:val="hybridMultilevel"/>
    <w:tmpl w:val="8FB69E0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60322229"/>
    <w:multiLevelType w:val="hybridMultilevel"/>
    <w:tmpl w:val="175C6FD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606844D8"/>
    <w:multiLevelType w:val="hybridMultilevel"/>
    <w:tmpl w:val="7FCACB18"/>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17">
    <w:nsid w:val="638652D9"/>
    <w:multiLevelType w:val="hybridMultilevel"/>
    <w:tmpl w:val="8E0CDB92"/>
    <w:lvl w:ilvl="0" w:tplc="2F401842">
      <w:start w:val="1"/>
      <w:numFmt w:val="lowerLetter"/>
      <w:lvlText w:val="%1)"/>
      <w:lvlJc w:val="left"/>
      <w:pPr>
        <w:ind w:left="360" w:hanging="360"/>
      </w:pPr>
      <w:rPr>
        <w:rFonts w:ascii="Times New Roman" w:hAnsi="Times New Roman" w:cs="Times New Roman" w:hint="default"/>
        <w:b w:val="0"/>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67B5655B"/>
    <w:multiLevelType w:val="hybridMultilevel"/>
    <w:tmpl w:val="96E8BBA2"/>
    <w:lvl w:ilvl="0" w:tplc="D36692F0">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8196493"/>
    <w:multiLevelType w:val="hybridMultilevel"/>
    <w:tmpl w:val="E346A366"/>
    <w:lvl w:ilvl="0" w:tplc="29924A3C">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6B916E38"/>
    <w:multiLevelType w:val="hybridMultilevel"/>
    <w:tmpl w:val="3A5AF1F6"/>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6EDA6043"/>
    <w:multiLevelType w:val="hybridMultilevel"/>
    <w:tmpl w:val="EC261880"/>
    <w:lvl w:ilvl="0" w:tplc="3084B3F0">
      <w:start w:val="1"/>
      <w:numFmt w:val="lowerLetter"/>
      <w:lvlText w:val="%1)"/>
      <w:lvlJc w:val="left"/>
      <w:pPr>
        <w:ind w:left="1068" w:hanging="360"/>
      </w:pPr>
      <w:rPr>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nsid w:val="70054FF6"/>
    <w:multiLevelType w:val="hybridMultilevel"/>
    <w:tmpl w:val="AD3EC1D4"/>
    <w:lvl w:ilvl="0" w:tplc="041F0017">
      <w:start w:val="1"/>
      <w:numFmt w:val="lowerLetter"/>
      <w:lvlText w:val="%1)"/>
      <w:lvlJc w:val="left"/>
      <w:pPr>
        <w:ind w:left="720" w:hanging="360"/>
      </w:pPr>
      <w:rPr>
        <w:rFonts w:hint="default"/>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3">
    <w:nsid w:val="778506DA"/>
    <w:multiLevelType w:val="hybridMultilevel"/>
    <w:tmpl w:val="15DE4384"/>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D9D3222"/>
    <w:multiLevelType w:val="hybridMultilevel"/>
    <w:tmpl w:val="D0222D80"/>
    <w:lvl w:ilvl="0" w:tplc="E690AA8E">
      <w:start w:val="1"/>
      <w:numFmt w:val="lowerLetter"/>
      <w:lvlText w:val="%1)"/>
      <w:lvlJc w:val="left"/>
      <w:pPr>
        <w:ind w:left="360" w:hanging="360"/>
      </w:pPr>
      <w:rPr>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7EE8621A"/>
    <w:multiLevelType w:val="hybridMultilevel"/>
    <w:tmpl w:val="64D0D4A2"/>
    <w:lvl w:ilvl="0" w:tplc="FFFFFFFF">
      <w:start w:val="1"/>
      <w:numFmt w:val="lowerLetter"/>
      <w:lvlText w:val="%1)"/>
      <w:lvlJc w:val="left"/>
      <w:pPr>
        <w:ind w:left="1440" w:hanging="360"/>
      </w:pPr>
    </w:lvl>
    <w:lvl w:ilvl="1" w:tplc="041F0017">
      <w:start w:val="1"/>
      <w:numFmt w:val="lowerLetter"/>
      <w:lvlText w:val="%2)"/>
      <w:lvlJc w:val="left"/>
      <w:pPr>
        <w:ind w:left="3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15"/>
  </w:num>
  <w:num w:numId="3">
    <w:abstractNumId w:val="20"/>
  </w:num>
  <w:num w:numId="4">
    <w:abstractNumId w:val="1"/>
  </w:num>
  <w:num w:numId="5">
    <w:abstractNumId w:val="7"/>
  </w:num>
  <w:num w:numId="6">
    <w:abstractNumId w:val="9"/>
  </w:num>
  <w:num w:numId="7">
    <w:abstractNumId w:val="21"/>
  </w:num>
  <w:num w:numId="8">
    <w:abstractNumId w:val="6"/>
  </w:num>
  <w:num w:numId="9">
    <w:abstractNumId w:val="24"/>
  </w:num>
  <w:num w:numId="10">
    <w:abstractNumId w:val="3"/>
  </w:num>
  <w:num w:numId="11">
    <w:abstractNumId w:val="18"/>
  </w:num>
  <w:num w:numId="12">
    <w:abstractNumId w:val="19"/>
  </w:num>
  <w:num w:numId="13">
    <w:abstractNumId w:val="5"/>
  </w:num>
  <w:num w:numId="14">
    <w:abstractNumId w:val="12"/>
  </w:num>
  <w:num w:numId="15">
    <w:abstractNumId w:val="14"/>
  </w:num>
  <w:num w:numId="16">
    <w:abstractNumId w:val="13"/>
  </w:num>
  <w:num w:numId="17">
    <w:abstractNumId w:val="23"/>
  </w:num>
  <w:num w:numId="18">
    <w:abstractNumId w:val="22"/>
  </w:num>
  <w:num w:numId="19">
    <w:abstractNumId w:val="16"/>
  </w:num>
  <w:num w:numId="20">
    <w:abstractNumId w:val="10"/>
  </w:num>
  <w:num w:numId="21">
    <w:abstractNumId w:val="2"/>
  </w:num>
  <w:num w:numId="22">
    <w:abstractNumId w:val="4"/>
  </w:num>
  <w:num w:numId="23">
    <w:abstractNumId w:val="17"/>
  </w:num>
  <w:num w:numId="24">
    <w:abstractNumId w:val="11"/>
  </w:num>
  <w:num w:numId="25">
    <w:abstractNumId w:val="8"/>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4B609F"/>
    <w:rsid w:val="000574D2"/>
    <w:rsid w:val="00184236"/>
    <w:rsid w:val="001D3C65"/>
    <w:rsid w:val="00247C2D"/>
    <w:rsid w:val="002A3105"/>
    <w:rsid w:val="002C4DC4"/>
    <w:rsid w:val="0034361F"/>
    <w:rsid w:val="00367719"/>
    <w:rsid w:val="003B3BB1"/>
    <w:rsid w:val="003C1724"/>
    <w:rsid w:val="004B609F"/>
    <w:rsid w:val="00614538"/>
    <w:rsid w:val="00621D85"/>
    <w:rsid w:val="0067539A"/>
    <w:rsid w:val="006B1FF9"/>
    <w:rsid w:val="00727F3B"/>
    <w:rsid w:val="007815A1"/>
    <w:rsid w:val="007B0D37"/>
    <w:rsid w:val="008B1422"/>
    <w:rsid w:val="008B69A2"/>
    <w:rsid w:val="008F1CA0"/>
    <w:rsid w:val="00920969"/>
    <w:rsid w:val="009409C3"/>
    <w:rsid w:val="009A77DB"/>
    <w:rsid w:val="00A56754"/>
    <w:rsid w:val="00A80ABC"/>
    <w:rsid w:val="00A9375D"/>
    <w:rsid w:val="00B12CEC"/>
    <w:rsid w:val="00B50A44"/>
    <w:rsid w:val="00BB4282"/>
    <w:rsid w:val="00BC7D62"/>
    <w:rsid w:val="00BF1AB2"/>
    <w:rsid w:val="00BF69F2"/>
    <w:rsid w:val="00C303FA"/>
    <w:rsid w:val="00E830BD"/>
    <w:rsid w:val="00FB66B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3">
    <w:name w:val="heading 3"/>
    <w:basedOn w:val="Normal"/>
    <w:next w:val="Normal"/>
    <w:link w:val="Balk3Char"/>
    <w:uiPriority w:val="9"/>
    <w:semiHidden/>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semiHidden/>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5849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4</cp:revision>
  <dcterms:created xsi:type="dcterms:W3CDTF">2026-04-02T16:20:00Z</dcterms:created>
  <dcterms:modified xsi:type="dcterms:W3CDTF">2026-04-02T21:19:00Z</dcterms:modified>
</cp:coreProperties>
</file>