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ook w:val="04A0"/>
      </w:tblPr>
      <w:tblGrid>
        <w:gridCol w:w="9895"/>
      </w:tblGrid>
      <w:tr w:rsidR="001D3C65" w:rsidTr="00A9375D">
        <w:trPr>
          <w:trHeight w:val="12266"/>
        </w:trPr>
        <w:tc>
          <w:tcPr>
            <w:tcW w:w="9895" w:type="dxa"/>
          </w:tcPr>
          <w:p w:rsidR="00B8193F" w:rsidRPr="007B3560" w:rsidRDefault="00B8193F" w:rsidP="00B8193F">
            <w:pPr>
              <w:jc w:val="center"/>
              <w:rPr>
                <w:sz w:val="24"/>
                <w:szCs w:val="24"/>
              </w:rPr>
            </w:pPr>
            <w:r w:rsidRPr="007B3560">
              <w:rPr>
                <w:rFonts w:ascii="Times New Roman" w:eastAsia="Times New Roman" w:hAnsi="Times New Roman"/>
                <w:b/>
                <w:sz w:val="24"/>
                <w:szCs w:val="24"/>
              </w:rPr>
              <w:t>BİRİNCİ BÖLÜM</w:t>
            </w:r>
          </w:p>
          <w:p w:rsidR="00B8193F" w:rsidRPr="007B3560" w:rsidRDefault="00B8193F" w:rsidP="00B8193F">
            <w:pPr>
              <w:jc w:val="center"/>
              <w:rPr>
                <w:rFonts w:ascii="Times New Roman" w:eastAsia="Times New Roman" w:hAnsi="Times New Roman"/>
                <w:b/>
                <w:sz w:val="24"/>
                <w:szCs w:val="24"/>
              </w:rPr>
            </w:pPr>
            <w:r w:rsidRPr="007B3560">
              <w:rPr>
                <w:rFonts w:ascii="Times New Roman" w:eastAsia="Times New Roman" w:hAnsi="Times New Roman"/>
                <w:b/>
                <w:sz w:val="24"/>
                <w:szCs w:val="24"/>
              </w:rPr>
              <w:t>Amaç, Kapsam, Dayanak, Tanımlar</w:t>
            </w:r>
          </w:p>
          <w:p w:rsidR="00B8193F" w:rsidRPr="007B3560" w:rsidRDefault="00B8193F" w:rsidP="00B8193F">
            <w:pPr>
              <w:jc w:val="both"/>
              <w:rPr>
                <w:sz w:val="24"/>
                <w:szCs w:val="24"/>
              </w:rPr>
            </w:pPr>
            <w:r w:rsidRPr="007B3560">
              <w:rPr>
                <w:rFonts w:ascii="Times New Roman" w:eastAsia="Times New Roman" w:hAnsi="Times New Roman"/>
                <w:b/>
                <w:sz w:val="24"/>
                <w:szCs w:val="24"/>
              </w:rPr>
              <w:t>Amaç</w:t>
            </w:r>
          </w:p>
          <w:p w:rsidR="00B8193F" w:rsidRPr="007B3560" w:rsidRDefault="00B8193F" w:rsidP="00B8193F">
            <w:pPr>
              <w:jc w:val="both"/>
              <w:rPr>
                <w:sz w:val="24"/>
                <w:szCs w:val="24"/>
              </w:rPr>
            </w:pPr>
            <w:r w:rsidRPr="007B3560">
              <w:rPr>
                <w:rFonts w:ascii="Times New Roman" w:eastAsia="Times New Roman" w:hAnsi="Times New Roman"/>
                <w:b/>
                <w:sz w:val="24"/>
                <w:szCs w:val="24"/>
              </w:rPr>
              <w:t xml:space="preserve">Madde 1- </w:t>
            </w:r>
            <w:r w:rsidRPr="007B3560">
              <w:rPr>
                <w:rFonts w:ascii="Times New Roman" w:eastAsia="Times New Roman" w:hAnsi="Times New Roman"/>
                <w:sz w:val="24"/>
                <w:szCs w:val="24"/>
              </w:rPr>
              <w:t>Bu Usul ve Esasların amacı; Meslek Yüksekokulu bünyesinde cinsel taciz ve saldırının önlenmesi, güvenli ve saygılı bir öğrenme-çalışma ortamının desteklenmesi, farkındalık ve eğitim faaliyetlerinin planlanması, başvuru ve yönlendirme süreçlerinin koordine edilmesi ile izleme-iyileştirme döngüsünün işletilmesine ilişkin Cinsel Taciz ve Saldırıya Karşı Önleme Komisyonunun kuruluşu, görevleri ve çalışma usullerini düzenlemektir.</w:t>
            </w:r>
          </w:p>
          <w:p w:rsidR="00B8193F" w:rsidRPr="007B3560" w:rsidRDefault="00B8193F" w:rsidP="00B8193F">
            <w:pPr>
              <w:jc w:val="both"/>
              <w:rPr>
                <w:sz w:val="24"/>
                <w:szCs w:val="24"/>
              </w:rPr>
            </w:pPr>
            <w:r w:rsidRPr="007B3560">
              <w:rPr>
                <w:rFonts w:ascii="Times New Roman" w:eastAsia="Times New Roman" w:hAnsi="Times New Roman"/>
                <w:b/>
                <w:sz w:val="24"/>
                <w:szCs w:val="24"/>
              </w:rPr>
              <w:t>Kapsam</w:t>
            </w:r>
          </w:p>
          <w:p w:rsidR="00B8193F" w:rsidRPr="007B3560" w:rsidRDefault="00B8193F" w:rsidP="00B8193F">
            <w:pPr>
              <w:jc w:val="both"/>
              <w:rPr>
                <w:sz w:val="24"/>
                <w:szCs w:val="24"/>
              </w:rPr>
            </w:pPr>
            <w:r w:rsidRPr="007B3560">
              <w:rPr>
                <w:rFonts w:ascii="Times New Roman" w:eastAsia="Times New Roman" w:hAnsi="Times New Roman"/>
                <w:b/>
                <w:sz w:val="24"/>
                <w:szCs w:val="24"/>
              </w:rPr>
              <w:t xml:space="preserve">Madde 2- </w:t>
            </w:r>
            <w:r w:rsidRPr="007B3560">
              <w:rPr>
                <w:rFonts w:ascii="Times New Roman" w:eastAsia="Times New Roman" w:hAnsi="Times New Roman"/>
                <w:sz w:val="24"/>
                <w:szCs w:val="24"/>
              </w:rPr>
              <w:t>Bu Usul ve Esaslar; Meslek Yüksekokulunda öğrenim gören öğrencileri, akademik ve idari personeli, hizmet sağlayıcıları, ziyaretçileri ve kurumla etkileşimde bulunan diğer kişileri kapsar. Uygulama alanı; kampüs ve eklentileri, eğitim-öğretim, staj/uygulama, saha çalışması, etkinlikler, çevrim içi ortamlar ve kurumla ilişkili tüm iş/öğrenme süreçleridir.</w:t>
            </w:r>
          </w:p>
          <w:p w:rsidR="00B8193F" w:rsidRPr="007B3560" w:rsidRDefault="00B8193F" w:rsidP="00B8193F">
            <w:pPr>
              <w:jc w:val="both"/>
              <w:rPr>
                <w:sz w:val="24"/>
                <w:szCs w:val="24"/>
              </w:rPr>
            </w:pPr>
            <w:r w:rsidRPr="007B3560">
              <w:rPr>
                <w:rFonts w:ascii="Times New Roman" w:eastAsia="Times New Roman" w:hAnsi="Times New Roman"/>
                <w:b/>
                <w:sz w:val="24"/>
                <w:szCs w:val="24"/>
              </w:rPr>
              <w:t>Dayanak</w:t>
            </w:r>
          </w:p>
          <w:p w:rsidR="00B8193F" w:rsidRPr="007B3560" w:rsidRDefault="00B8193F" w:rsidP="00B8193F">
            <w:pPr>
              <w:jc w:val="both"/>
              <w:rPr>
                <w:sz w:val="24"/>
                <w:szCs w:val="24"/>
              </w:rPr>
            </w:pPr>
            <w:r w:rsidRPr="007B3560">
              <w:rPr>
                <w:rFonts w:ascii="Times New Roman" w:eastAsia="Times New Roman" w:hAnsi="Times New Roman"/>
                <w:b/>
                <w:sz w:val="24"/>
                <w:szCs w:val="24"/>
              </w:rPr>
              <w:t xml:space="preserve">Madde 3- </w:t>
            </w:r>
            <w:r w:rsidRPr="007B3560">
              <w:rPr>
                <w:rFonts w:ascii="Times New Roman" w:eastAsia="Times New Roman" w:hAnsi="Times New Roman"/>
                <w:sz w:val="24"/>
                <w:szCs w:val="24"/>
              </w:rPr>
              <w:t>Bu Usul ve Esaslar; ilgili mevzuat hükümleri (Yükseköğretim, personel, disiplin ve ceza mevzuatı), 6698 sayılı Kişisel Verilerin Korunması Kanunu ile kurum içi düzenlemeler çerçevesinde hazırlanmıştır.</w:t>
            </w:r>
          </w:p>
          <w:p w:rsidR="00B8193F" w:rsidRPr="007B3560" w:rsidRDefault="00B8193F" w:rsidP="00B8193F">
            <w:pPr>
              <w:jc w:val="both"/>
              <w:rPr>
                <w:sz w:val="24"/>
                <w:szCs w:val="24"/>
              </w:rPr>
            </w:pPr>
            <w:r w:rsidRPr="007B3560">
              <w:rPr>
                <w:rFonts w:ascii="Times New Roman" w:eastAsia="Times New Roman" w:hAnsi="Times New Roman"/>
                <w:b/>
                <w:sz w:val="24"/>
                <w:szCs w:val="24"/>
              </w:rPr>
              <w:t>Tanımlar</w:t>
            </w:r>
          </w:p>
          <w:p w:rsidR="00B8193F" w:rsidRPr="007B3560" w:rsidRDefault="00B8193F" w:rsidP="00B8193F">
            <w:pPr>
              <w:jc w:val="both"/>
              <w:rPr>
                <w:rFonts w:ascii="Times New Roman" w:eastAsia="Times New Roman" w:hAnsi="Times New Roman"/>
                <w:sz w:val="24"/>
                <w:szCs w:val="24"/>
              </w:rPr>
            </w:pPr>
            <w:r w:rsidRPr="007B3560">
              <w:rPr>
                <w:rFonts w:ascii="Times New Roman" w:eastAsia="Times New Roman" w:hAnsi="Times New Roman"/>
                <w:b/>
                <w:sz w:val="24"/>
                <w:szCs w:val="24"/>
              </w:rPr>
              <w:t xml:space="preserve">Madde 4- </w:t>
            </w:r>
            <w:r w:rsidRPr="007B3560">
              <w:rPr>
                <w:rFonts w:ascii="Times New Roman" w:eastAsia="Times New Roman" w:hAnsi="Times New Roman"/>
                <w:sz w:val="24"/>
                <w:szCs w:val="24"/>
              </w:rPr>
              <w:t>Bu Usul ve Esaslarda geçen;</w:t>
            </w:r>
          </w:p>
          <w:p w:rsidR="00B8193F" w:rsidRPr="007B3560" w:rsidRDefault="00B8193F" w:rsidP="00B8193F">
            <w:pPr>
              <w:numPr>
                <w:ilvl w:val="0"/>
                <w:numId w:val="27"/>
              </w:numPr>
              <w:jc w:val="both"/>
              <w:rPr>
                <w:rFonts w:ascii="Times New Roman" w:eastAsia="Times New Roman" w:hAnsi="Times New Roman"/>
                <w:sz w:val="24"/>
                <w:szCs w:val="24"/>
              </w:rPr>
            </w:pPr>
            <w:r w:rsidRPr="00507118">
              <w:rPr>
                <w:rFonts w:ascii="Times New Roman" w:eastAsia="Times New Roman" w:hAnsi="Times New Roman"/>
                <w:b/>
                <w:bCs/>
                <w:sz w:val="24"/>
                <w:szCs w:val="24"/>
              </w:rPr>
              <w:t>Yüksekokul:</w:t>
            </w:r>
            <w:r w:rsidRPr="007B3560">
              <w:rPr>
                <w:rFonts w:ascii="Times New Roman" w:eastAsia="Times New Roman" w:hAnsi="Times New Roman"/>
                <w:sz w:val="24"/>
                <w:szCs w:val="24"/>
              </w:rPr>
              <w:t xml:space="preserve"> Aydın Adnan Menderes Üniversitesi Söke Sağlık Hizmetleri Meslek Yüksekokulu’nu,</w:t>
            </w:r>
          </w:p>
          <w:p w:rsidR="00B8193F" w:rsidRPr="007B3560"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Yüksekokul Yönetim Kurulu:</w:t>
            </w:r>
            <w:r w:rsidRPr="007B3560">
              <w:rPr>
                <w:rFonts w:ascii="Times New Roman" w:eastAsia="Times New Roman" w:hAnsi="Times New Roman"/>
                <w:sz w:val="24"/>
                <w:szCs w:val="24"/>
              </w:rPr>
              <w:t>Söke Sağlık Hizmetleri Meslek Yüksekokulu Yönetim Kurulu’nu,</w:t>
            </w:r>
          </w:p>
          <w:p w:rsidR="00B8193F" w:rsidRPr="007B3560"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Yüksekokul Müdürü</w:t>
            </w:r>
            <w:r w:rsidRPr="007B3560">
              <w:rPr>
                <w:rFonts w:ascii="Times New Roman" w:eastAsia="Times New Roman" w:hAnsi="Times New Roman"/>
                <w:sz w:val="24"/>
                <w:szCs w:val="24"/>
              </w:rPr>
              <w:t>:Söke Sağlık Hizmetleri Meslek Yüksekokulu Müdürü’nü,</w:t>
            </w:r>
          </w:p>
          <w:p w:rsidR="00B8193F" w:rsidRPr="007B3560"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Komisyon Başkanı:</w:t>
            </w:r>
            <w:r w:rsidRPr="007B3560">
              <w:rPr>
                <w:rFonts w:ascii="Times New Roman" w:eastAsia="Times New Roman" w:hAnsi="Times New Roman"/>
                <w:sz w:val="24"/>
                <w:szCs w:val="24"/>
              </w:rPr>
              <w:t>Söke Sağlık Hizmetleri Meslek Yüksekokulu Cinsel Taciz ve Saldırıya Karşı Önleme Komisyon Başkanı’nı</w:t>
            </w:r>
          </w:p>
          <w:p w:rsidR="00B8193F"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Üye:</w:t>
            </w:r>
            <w:r w:rsidRPr="007B3560">
              <w:rPr>
                <w:rFonts w:ascii="Times New Roman" w:eastAsia="Times New Roman" w:hAnsi="Times New Roman"/>
                <w:sz w:val="24"/>
                <w:szCs w:val="24"/>
              </w:rPr>
              <w:t xml:space="preserve"> Söke Sağlık Hizmetleri Meslek Yüksekokulu Cinsel Taciz ve Saldırıya Karşı Önleme Komisyonu’nda görev alan öğretim elemanlarını ve idari personelini ifade eder.</w:t>
            </w:r>
          </w:p>
          <w:p w:rsidR="00B8193F"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Cinsel taciz:</w:t>
            </w:r>
            <w:r w:rsidRPr="00355CA9">
              <w:rPr>
                <w:rFonts w:ascii="Times New Roman" w:eastAsia="Times New Roman" w:hAnsi="Times New Roman"/>
                <w:sz w:val="24"/>
                <w:szCs w:val="24"/>
              </w:rPr>
              <w:t xml:space="preserve"> Kişinin rızası dışında, cinsel içerikli söz, davranış veya iletişimle rahatsız edilmesi, </w:t>
            </w:r>
          </w:p>
          <w:p w:rsidR="00B8193F"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Cinsel saldırı:</w:t>
            </w:r>
            <w:r w:rsidRPr="00355CA9">
              <w:rPr>
                <w:rFonts w:ascii="Times New Roman" w:eastAsia="Times New Roman" w:hAnsi="Times New Roman"/>
                <w:sz w:val="24"/>
                <w:szCs w:val="24"/>
              </w:rPr>
              <w:t xml:space="preserve"> Kişinin beden dokunulmazlığına yönelik cinsel nitelikli eylemler, </w:t>
            </w:r>
          </w:p>
          <w:p w:rsidR="00B8193F"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Misilleme:</w:t>
            </w:r>
            <w:r w:rsidRPr="00355CA9">
              <w:rPr>
                <w:rFonts w:ascii="Times New Roman" w:eastAsia="Times New Roman" w:hAnsi="Times New Roman"/>
                <w:sz w:val="24"/>
                <w:szCs w:val="24"/>
              </w:rPr>
              <w:t xml:space="preserve"> Başvuru yapan veya sürece katkı veren kişiye karşı olumsuz muamele, </w:t>
            </w:r>
          </w:p>
          <w:p w:rsidR="00B8193F"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Başvuru:</w:t>
            </w:r>
            <w:r w:rsidRPr="00355CA9">
              <w:rPr>
                <w:rFonts w:ascii="Times New Roman" w:eastAsia="Times New Roman" w:hAnsi="Times New Roman"/>
                <w:sz w:val="24"/>
                <w:szCs w:val="24"/>
              </w:rPr>
              <w:t xml:space="preserve"> Şikayet, ihbar veya danışma amaçlı bildirim, </w:t>
            </w:r>
          </w:p>
          <w:p w:rsidR="00B8193F" w:rsidRPr="00355CA9" w:rsidRDefault="00B8193F" w:rsidP="00B8193F">
            <w:pPr>
              <w:numPr>
                <w:ilvl w:val="0"/>
                <w:numId w:val="27"/>
              </w:numPr>
              <w:jc w:val="both"/>
              <w:rPr>
                <w:rFonts w:ascii="Times New Roman" w:eastAsia="Times New Roman" w:hAnsi="Times New Roman"/>
                <w:b/>
                <w:bCs/>
                <w:sz w:val="24"/>
                <w:szCs w:val="24"/>
              </w:rPr>
            </w:pPr>
            <w:r w:rsidRPr="00507118">
              <w:rPr>
                <w:rFonts w:ascii="Times New Roman" w:eastAsia="Times New Roman" w:hAnsi="Times New Roman"/>
                <w:b/>
                <w:bCs/>
                <w:sz w:val="24"/>
                <w:szCs w:val="24"/>
              </w:rPr>
              <w:t>Komisyon:</w:t>
            </w:r>
            <w:r w:rsidRPr="00355CA9">
              <w:rPr>
                <w:rFonts w:ascii="Times New Roman" w:eastAsia="Times New Roman" w:hAnsi="Times New Roman"/>
                <w:sz w:val="24"/>
                <w:szCs w:val="24"/>
              </w:rPr>
              <w:t xml:space="preserve"> Cinsel Taciz ve Saldırıya Karşı Önleme Komisyonunu ifade eder.</w:t>
            </w:r>
          </w:p>
          <w:p w:rsidR="00B8193F" w:rsidRDefault="00B8193F" w:rsidP="00B8193F">
            <w:pPr>
              <w:jc w:val="center"/>
              <w:rPr>
                <w:rFonts w:ascii="Times New Roman" w:eastAsia="Times New Roman" w:hAnsi="Times New Roman"/>
                <w:b/>
                <w:sz w:val="24"/>
                <w:szCs w:val="24"/>
              </w:rPr>
            </w:pPr>
          </w:p>
          <w:p w:rsidR="00B8193F" w:rsidRPr="007B3560" w:rsidRDefault="00B8193F" w:rsidP="00B8193F">
            <w:pPr>
              <w:jc w:val="center"/>
              <w:rPr>
                <w:sz w:val="24"/>
                <w:szCs w:val="24"/>
              </w:rPr>
            </w:pPr>
            <w:r w:rsidRPr="007B3560">
              <w:rPr>
                <w:rFonts w:ascii="Times New Roman" w:eastAsia="Times New Roman" w:hAnsi="Times New Roman"/>
                <w:b/>
                <w:sz w:val="24"/>
                <w:szCs w:val="24"/>
              </w:rPr>
              <w:t>İKİNCİ BÖLÜM</w:t>
            </w:r>
          </w:p>
          <w:p w:rsidR="00B8193F" w:rsidRPr="007B3560" w:rsidRDefault="00B8193F" w:rsidP="00B8193F">
            <w:pPr>
              <w:jc w:val="center"/>
              <w:rPr>
                <w:rFonts w:ascii="Times New Roman" w:eastAsia="MS Mincho" w:hAnsi="Times New Roman" w:cs="Times New Roman"/>
                <w:b/>
                <w:sz w:val="24"/>
                <w:szCs w:val="24"/>
              </w:rPr>
            </w:pPr>
            <w:r w:rsidRPr="007B3560">
              <w:rPr>
                <w:rFonts w:ascii="Times New Roman" w:eastAsia="MS Mincho" w:hAnsi="Times New Roman" w:cs="Times New Roman"/>
                <w:b/>
                <w:sz w:val="24"/>
                <w:szCs w:val="24"/>
              </w:rPr>
              <w:t>Komisyonun Oluşturulması ve Çalışma Esasları</w:t>
            </w:r>
          </w:p>
          <w:p w:rsidR="00B8193F" w:rsidRPr="007B3560" w:rsidRDefault="00B8193F" w:rsidP="00B8193F">
            <w:pPr>
              <w:jc w:val="both"/>
              <w:rPr>
                <w:rFonts w:ascii="Times New Roman" w:eastAsia="MS Mincho" w:hAnsi="Times New Roman" w:cs="Times New Roman"/>
                <w:b/>
                <w:sz w:val="24"/>
                <w:szCs w:val="24"/>
              </w:rPr>
            </w:pPr>
            <w:r w:rsidRPr="007B3560">
              <w:rPr>
                <w:rFonts w:ascii="Times New Roman" w:eastAsia="MS Mincho" w:hAnsi="Times New Roman" w:cs="Times New Roman"/>
                <w:b/>
                <w:sz w:val="24"/>
                <w:szCs w:val="24"/>
              </w:rPr>
              <w:t>Komisyonun Oluşturulması</w:t>
            </w:r>
          </w:p>
          <w:p w:rsidR="00B8193F" w:rsidRPr="007B3560" w:rsidRDefault="00B8193F" w:rsidP="00B8193F">
            <w:pPr>
              <w:jc w:val="both"/>
              <w:rPr>
                <w:rFonts w:ascii="Times New Roman" w:eastAsia="Times New Roman" w:hAnsi="Times New Roman"/>
                <w:b/>
                <w:sz w:val="24"/>
                <w:szCs w:val="24"/>
              </w:rPr>
            </w:pPr>
            <w:r w:rsidRPr="007B3560">
              <w:rPr>
                <w:rFonts w:ascii="Times New Roman" w:eastAsia="Times New Roman" w:hAnsi="Times New Roman"/>
                <w:b/>
                <w:sz w:val="24"/>
                <w:szCs w:val="24"/>
              </w:rPr>
              <w:t xml:space="preserve">Madde 5- </w:t>
            </w:r>
            <w:r w:rsidRPr="007B3560">
              <w:rPr>
                <w:rFonts w:ascii="Times New Roman" w:eastAsia="Times New Roman" w:hAnsi="Times New Roman"/>
                <w:bCs/>
                <w:sz w:val="24"/>
                <w:szCs w:val="24"/>
              </w:rPr>
              <w:t>(1) Komisyonun oluşturulması;</w:t>
            </w:r>
          </w:p>
          <w:p w:rsidR="00B8193F" w:rsidRPr="007B3560" w:rsidRDefault="00B8193F" w:rsidP="00B8193F">
            <w:pPr>
              <w:pStyle w:val="ListeParagraf"/>
              <w:numPr>
                <w:ilvl w:val="0"/>
                <w:numId w:val="28"/>
              </w:numPr>
              <w:jc w:val="both"/>
              <w:rPr>
                <w:rFonts w:eastAsia="Times New Roman"/>
                <w:bCs/>
                <w:sz w:val="24"/>
                <w:szCs w:val="24"/>
              </w:rPr>
            </w:pPr>
            <w:r w:rsidRPr="007B3560">
              <w:rPr>
                <w:rFonts w:eastAsia="Times New Roman"/>
                <w:bCs/>
                <w:sz w:val="24"/>
                <w:szCs w:val="24"/>
              </w:rPr>
              <w:t xml:space="preserve">Komisyon; </w:t>
            </w:r>
            <w:bookmarkStart w:id="0" w:name="_Hlk221622045"/>
            <w:r w:rsidRPr="007B3560">
              <w:rPr>
                <w:rFonts w:eastAsia="Times New Roman"/>
                <w:bCs/>
                <w:sz w:val="24"/>
                <w:szCs w:val="24"/>
              </w:rPr>
              <w:t>Yüksekokul Müdürlüğünün önerisi ve Yüksekokul Yönetim Kurulu kararı ile oluşturulur.</w:t>
            </w:r>
          </w:p>
          <w:bookmarkEnd w:id="0"/>
          <w:p w:rsidR="00B8193F" w:rsidRPr="007B3560" w:rsidRDefault="00B8193F" w:rsidP="00B8193F">
            <w:pPr>
              <w:pStyle w:val="ListeParagraf"/>
              <w:numPr>
                <w:ilvl w:val="0"/>
                <w:numId w:val="28"/>
              </w:numPr>
              <w:jc w:val="both"/>
              <w:rPr>
                <w:rFonts w:eastAsia="Times New Roman"/>
                <w:bCs/>
                <w:sz w:val="24"/>
                <w:szCs w:val="24"/>
              </w:rPr>
            </w:pPr>
            <w:r w:rsidRPr="007B3560">
              <w:rPr>
                <w:rFonts w:eastAsia="Times New Roman"/>
                <w:bCs/>
                <w:sz w:val="24"/>
                <w:szCs w:val="24"/>
              </w:rPr>
              <w:t>Komisyon; Meslek Yüksekokulundaki bölümlerde görevli öğretim elemanları ve üyeleri arasından belirlenen en az üç üye ve komisyon başkanından oluşur.</w:t>
            </w:r>
          </w:p>
          <w:p w:rsidR="00B8193F" w:rsidRPr="007B3560" w:rsidRDefault="00B8193F" w:rsidP="00B8193F">
            <w:pPr>
              <w:pStyle w:val="ListeParagraf"/>
              <w:numPr>
                <w:ilvl w:val="0"/>
                <w:numId w:val="28"/>
              </w:numPr>
              <w:jc w:val="both"/>
              <w:rPr>
                <w:rFonts w:eastAsia="Times New Roman"/>
                <w:bCs/>
                <w:sz w:val="24"/>
                <w:szCs w:val="24"/>
              </w:rPr>
            </w:pPr>
            <w:r w:rsidRPr="007B3560">
              <w:rPr>
                <w:rFonts w:eastAsia="Times New Roman"/>
                <w:bCs/>
                <w:sz w:val="24"/>
                <w:szCs w:val="24"/>
              </w:rPr>
              <w:t>Komisyon üyelerinin görev süresi 2 (iki) yıldır. Süresi dolan üyeler, Yüksekokul Müdürlüğünün önerisi ve Yüksekokul Yönetim Kurulu kararı ile yeniden görevlendirilebilir.</w:t>
            </w:r>
          </w:p>
          <w:p w:rsidR="00B8193F" w:rsidRPr="007B3560" w:rsidRDefault="00B8193F" w:rsidP="00B8193F">
            <w:pPr>
              <w:pStyle w:val="ListeParagraf"/>
              <w:numPr>
                <w:ilvl w:val="0"/>
                <w:numId w:val="28"/>
              </w:numPr>
              <w:jc w:val="both"/>
              <w:rPr>
                <w:rFonts w:eastAsia="Times New Roman"/>
                <w:bCs/>
                <w:sz w:val="24"/>
                <w:szCs w:val="24"/>
              </w:rPr>
            </w:pPr>
            <w:r w:rsidRPr="007B3560">
              <w:rPr>
                <w:rFonts w:eastAsia="Times New Roman"/>
                <w:bCs/>
                <w:sz w:val="24"/>
                <w:szCs w:val="24"/>
              </w:rPr>
              <w:lastRenderedPageBreak/>
              <w:t>Komisyon; ilk toplantısında kendi üyeleri arasından bir başkan yardımcısı ve bir raportör seçebilir.</w:t>
            </w:r>
          </w:p>
          <w:p w:rsidR="00B8193F" w:rsidRPr="007B3560" w:rsidRDefault="00B8193F" w:rsidP="00B8193F">
            <w:pPr>
              <w:pStyle w:val="ListeParagraf"/>
              <w:numPr>
                <w:ilvl w:val="0"/>
                <w:numId w:val="28"/>
              </w:numPr>
              <w:jc w:val="both"/>
              <w:rPr>
                <w:rFonts w:eastAsia="Times New Roman"/>
                <w:bCs/>
                <w:sz w:val="24"/>
                <w:szCs w:val="24"/>
              </w:rPr>
            </w:pPr>
            <w:r w:rsidRPr="007B3560">
              <w:rPr>
                <w:rFonts w:eastAsia="Times New Roman"/>
                <w:bCs/>
                <w:sz w:val="24"/>
                <w:szCs w:val="24"/>
              </w:rPr>
              <w:t>Komisyon Başkanı olmadığı zaman başkanın önerdiği üyelerden biri başkana vekalet eder.</w:t>
            </w:r>
          </w:p>
          <w:p w:rsidR="00B8193F" w:rsidRPr="007B3560" w:rsidRDefault="00B8193F" w:rsidP="00B8193F">
            <w:pPr>
              <w:jc w:val="both"/>
              <w:rPr>
                <w:rFonts w:ascii="Times New Roman" w:eastAsia="Times New Roman" w:hAnsi="Times New Roman"/>
                <w:b/>
                <w:sz w:val="24"/>
                <w:szCs w:val="24"/>
              </w:rPr>
            </w:pPr>
            <w:r w:rsidRPr="007B3560">
              <w:rPr>
                <w:rFonts w:ascii="Times New Roman" w:eastAsia="Times New Roman" w:hAnsi="Times New Roman"/>
                <w:b/>
                <w:sz w:val="24"/>
                <w:szCs w:val="24"/>
              </w:rPr>
              <w:t xml:space="preserve">Komisyonun </w:t>
            </w:r>
            <w:r w:rsidRPr="007B3560">
              <w:rPr>
                <w:rFonts w:ascii="Times New Roman" w:eastAsia="MS Mincho" w:hAnsi="Times New Roman" w:cs="Times New Roman"/>
                <w:b/>
                <w:sz w:val="24"/>
                <w:szCs w:val="24"/>
              </w:rPr>
              <w:t>Çalışma Esasları</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Times New Roman" w:hAnsi="Times New Roman"/>
                <w:b/>
                <w:sz w:val="24"/>
                <w:szCs w:val="24"/>
              </w:rPr>
              <w:t xml:space="preserve">Madde 6- </w:t>
            </w:r>
            <w:r w:rsidRPr="007B3560">
              <w:rPr>
                <w:rFonts w:ascii="Times New Roman" w:eastAsia="Times New Roman" w:hAnsi="Times New Roman"/>
                <w:bCs/>
                <w:sz w:val="24"/>
                <w:szCs w:val="24"/>
              </w:rPr>
              <w:t xml:space="preserve">(1) </w:t>
            </w:r>
            <w:r w:rsidRPr="007B3560">
              <w:rPr>
                <w:rFonts w:ascii="Times New Roman" w:eastAsia="MS Mincho" w:hAnsi="Times New Roman" w:cs="Times New Roman"/>
                <w:bCs/>
                <w:sz w:val="24"/>
                <w:szCs w:val="24"/>
              </w:rPr>
              <w:t>Komisyonun Çalışma Esasları</w:t>
            </w:r>
            <w:r w:rsidRPr="007B3560">
              <w:rPr>
                <w:rFonts w:ascii="Times New Roman" w:eastAsia="MS Mincho" w:hAnsi="Times New Roman" w:cs="Times New Roman"/>
                <w:sz w:val="24"/>
                <w:szCs w:val="24"/>
              </w:rPr>
              <w:t>;</w:t>
            </w:r>
          </w:p>
          <w:p w:rsidR="00B8193F" w:rsidRPr="007B3560" w:rsidRDefault="00B8193F" w:rsidP="00B8193F">
            <w:pPr>
              <w:pStyle w:val="ListeParagraf"/>
              <w:numPr>
                <w:ilvl w:val="0"/>
                <w:numId w:val="29"/>
              </w:numPr>
              <w:jc w:val="both"/>
              <w:rPr>
                <w:rFonts w:eastAsia="MS Mincho"/>
                <w:sz w:val="24"/>
                <w:szCs w:val="24"/>
              </w:rPr>
            </w:pPr>
            <w:r w:rsidRPr="007B3560">
              <w:rPr>
                <w:rFonts w:eastAsia="MS Mincho"/>
                <w:sz w:val="24"/>
                <w:szCs w:val="24"/>
              </w:rPr>
              <w:t>Komisyon yılda en az iki kez olağan olarak toplanır. Gerekli görüldüğünde başkanın çağrısı ile olağanüstü toplantı yapılabilir.</w:t>
            </w:r>
          </w:p>
          <w:p w:rsidR="00B8193F" w:rsidRPr="007B3560" w:rsidRDefault="00B8193F" w:rsidP="00B8193F">
            <w:pPr>
              <w:pStyle w:val="ListeParagraf"/>
              <w:numPr>
                <w:ilvl w:val="0"/>
                <w:numId w:val="29"/>
              </w:numPr>
              <w:jc w:val="both"/>
              <w:rPr>
                <w:rFonts w:eastAsia="MS Mincho"/>
                <w:sz w:val="24"/>
                <w:szCs w:val="24"/>
              </w:rPr>
            </w:pPr>
            <w:r w:rsidRPr="007B3560">
              <w:rPr>
                <w:rFonts w:eastAsia="MS Mincho"/>
                <w:sz w:val="24"/>
                <w:szCs w:val="24"/>
              </w:rPr>
              <w:t>Toplantılar Komisyon Başkanının davetiyle yapılır; toplantı gündemi ve toplantıya ilişkin bilgi/belgeler en az üç gün önceden üyelere bildirilir.</w:t>
            </w:r>
          </w:p>
          <w:p w:rsidR="00B8193F" w:rsidRPr="007B3560" w:rsidRDefault="00B8193F" w:rsidP="00B8193F">
            <w:pPr>
              <w:pStyle w:val="ListeParagraf"/>
              <w:numPr>
                <w:ilvl w:val="0"/>
                <w:numId w:val="29"/>
              </w:numPr>
              <w:jc w:val="both"/>
              <w:rPr>
                <w:rFonts w:eastAsia="MS Mincho"/>
                <w:sz w:val="24"/>
                <w:szCs w:val="24"/>
              </w:rPr>
            </w:pPr>
            <w:bookmarkStart w:id="1" w:name="_Hlk221621881"/>
            <w:r w:rsidRPr="007B3560">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7B3560">
              <w:rPr>
                <w:rFonts w:eastAsia="MS Mincho"/>
                <w:sz w:val="24"/>
                <w:szCs w:val="24"/>
              </w:rPr>
              <w:t>.</w:t>
            </w:r>
          </w:p>
          <w:p w:rsidR="00B8193F" w:rsidRPr="007B3560" w:rsidRDefault="00B8193F" w:rsidP="00B8193F">
            <w:pPr>
              <w:pStyle w:val="ListeParagraf"/>
              <w:numPr>
                <w:ilvl w:val="0"/>
                <w:numId w:val="29"/>
              </w:numPr>
              <w:jc w:val="both"/>
              <w:rPr>
                <w:rFonts w:eastAsia="MS Mincho"/>
                <w:sz w:val="24"/>
                <w:szCs w:val="24"/>
              </w:rPr>
            </w:pPr>
            <w:r w:rsidRPr="007B3560">
              <w:rPr>
                <w:rFonts w:eastAsia="MS Mincho"/>
                <w:sz w:val="24"/>
                <w:szCs w:val="24"/>
              </w:rPr>
              <w:t>Her toplantı sonrası karar ve faaliyetleri içeren toplantı tutanağı hazırlanır; tutanaklar imzalanarak arşivlenir.</w:t>
            </w:r>
          </w:p>
          <w:p w:rsidR="00B8193F" w:rsidRPr="007B3560" w:rsidRDefault="00B8193F" w:rsidP="00B8193F">
            <w:pPr>
              <w:pStyle w:val="ListeParagraf"/>
              <w:numPr>
                <w:ilvl w:val="0"/>
                <w:numId w:val="29"/>
              </w:numPr>
              <w:rPr>
                <w:rFonts w:eastAsia="MS Mincho"/>
                <w:sz w:val="24"/>
                <w:szCs w:val="24"/>
              </w:rPr>
            </w:pPr>
            <w:r w:rsidRPr="007B3560">
              <w:rPr>
                <w:rFonts w:eastAsia="MS Mincho"/>
                <w:sz w:val="24"/>
                <w:szCs w:val="24"/>
              </w:rPr>
              <w:t>Komisyonun sekretarya/raportörlük ve yazışma-evrak işlemleri, Komisyon Başkanının koordinasyonunda Raportör tarafından yürütülür.</w:t>
            </w:r>
          </w:p>
          <w:p w:rsidR="00B8193F" w:rsidRPr="00460B5F" w:rsidRDefault="00B8193F" w:rsidP="00B8193F">
            <w:pPr>
              <w:rPr>
                <w:rFonts w:ascii="Times New Roman" w:eastAsia="Times New Roman" w:hAnsi="Times New Roman"/>
                <w:b/>
                <w:sz w:val="24"/>
                <w:szCs w:val="24"/>
              </w:rPr>
            </w:pPr>
            <w:r w:rsidRPr="00460B5F">
              <w:rPr>
                <w:rFonts w:ascii="Times New Roman" w:eastAsia="Times New Roman" w:hAnsi="Times New Roman"/>
                <w:b/>
                <w:sz w:val="24"/>
                <w:szCs w:val="24"/>
              </w:rPr>
              <w:t>Komisyonun Görevleri</w:t>
            </w:r>
          </w:p>
          <w:p w:rsidR="00B8193F" w:rsidRPr="007B3560" w:rsidRDefault="00B8193F" w:rsidP="00B8193F">
            <w:pPr>
              <w:rPr>
                <w:sz w:val="24"/>
                <w:szCs w:val="24"/>
              </w:rPr>
            </w:pPr>
            <w:r w:rsidRPr="007B3560">
              <w:rPr>
                <w:rFonts w:ascii="Times New Roman" w:eastAsia="Times New Roman" w:hAnsi="Times New Roman"/>
                <w:b/>
                <w:sz w:val="24"/>
                <w:szCs w:val="24"/>
              </w:rPr>
              <w:t xml:space="preserve">Madde 7- </w:t>
            </w:r>
            <w:r w:rsidRPr="007B3560">
              <w:rPr>
                <w:rFonts w:ascii="Times New Roman" w:eastAsia="Times New Roman" w:hAnsi="Times New Roman"/>
                <w:bCs/>
                <w:sz w:val="24"/>
                <w:szCs w:val="24"/>
              </w:rPr>
              <w:t>(1) Komisyonun görevleri</w:t>
            </w:r>
            <w:r>
              <w:rPr>
                <w:rFonts w:ascii="Times New Roman" w:eastAsia="Times New Roman" w:hAnsi="Times New Roman"/>
                <w:bCs/>
                <w:sz w:val="24"/>
                <w:szCs w:val="24"/>
              </w:rPr>
              <w:t>;</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Kurumsal önleme politikalarını, rehber ve bilgilendirme materyallerini hazırlamak/güncellemek.</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Öğrenci ve personel için düzenli farkındalık ve eğitim programları planlamak; katılımı izlemek.</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Başvuru kanallarını işletmek; başvuruları almak, sınıflandırmak ve uygun birimlere yönlendirmek.</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Psikososyal destek, sağlık hizmeti ve hukuki bilgilendirme için ilgili birimlerle koordinasyon sağlamak.</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Gizlilik ve veri koruma ilkelerine uygun kayıt, arşiv ve raporlama sistemini yürütmek.</w:t>
            </w:r>
          </w:p>
          <w:p w:rsidR="00B8193F" w:rsidRPr="007B3560" w:rsidRDefault="00B8193F" w:rsidP="00B8193F">
            <w:pPr>
              <w:pStyle w:val="ListeParagraf"/>
              <w:numPr>
                <w:ilvl w:val="1"/>
                <w:numId w:val="30"/>
              </w:numPr>
              <w:jc w:val="both"/>
              <w:rPr>
                <w:sz w:val="24"/>
                <w:szCs w:val="24"/>
              </w:rPr>
            </w:pPr>
            <w:r w:rsidRPr="007B3560">
              <w:rPr>
                <w:rFonts w:eastAsia="Times New Roman"/>
                <w:sz w:val="24"/>
                <w:szCs w:val="24"/>
              </w:rPr>
              <w:t>Yıllık çalışma planı ve yıllık faaliyet raporu hazırlamak; iyileştirme önerilerini yönetime sunmak.</w:t>
            </w:r>
          </w:p>
          <w:p w:rsidR="00B8193F" w:rsidRPr="007B3560" w:rsidRDefault="00B8193F" w:rsidP="00B8193F">
            <w:pPr>
              <w:pStyle w:val="ListeParagraf"/>
              <w:numPr>
                <w:ilvl w:val="1"/>
                <w:numId w:val="30"/>
              </w:numPr>
              <w:jc w:val="both"/>
              <w:rPr>
                <w:rFonts w:eastAsia="Times New Roman"/>
                <w:sz w:val="24"/>
                <w:szCs w:val="24"/>
              </w:rPr>
            </w:pPr>
            <w:r w:rsidRPr="007B3560">
              <w:rPr>
                <w:rFonts w:eastAsia="Times New Roman"/>
                <w:sz w:val="24"/>
                <w:szCs w:val="24"/>
              </w:rPr>
              <w:t>Kurum içi paydaşlarla (öğrenci temsilcileri, birimler, komisyonlar) iş birliği ve iletişimi sürdürmek.</w:t>
            </w:r>
          </w:p>
          <w:p w:rsidR="00B8193F" w:rsidRPr="007B3560" w:rsidRDefault="00B8193F" w:rsidP="00B8193F">
            <w:pPr>
              <w:pStyle w:val="ListeParagraf"/>
              <w:numPr>
                <w:ilvl w:val="1"/>
                <w:numId w:val="30"/>
              </w:numPr>
              <w:jc w:val="both"/>
              <w:rPr>
                <w:sz w:val="24"/>
                <w:szCs w:val="24"/>
              </w:rPr>
            </w:pPr>
            <w:r w:rsidRPr="007B3560">
              <w:rPr>
                <w:color w:val="000000"/>
                <w:sz w:val="24"/>
                <w:szCs w:val="24"/>
              </w:rPr>
              <w:t>Gerekli görülmesi halinde, gizlilik ve etik çerçevede öğrenci temsilcisi toplantılara</w:t>
            </w:r>
            <w:r w:rsidRPr="007B3560">
              <w:rPr>
                <w:rStyle w:val="apple-converted-space"/>
                <w:color w:val="000000"/>
                <w:sz w:val="24"/>
                <w:szCs w:val="24"/>
              </w:rPr>
              <w:t> </w:t>
            </w:r>
            <w:r w:rsidRPr="007B3560">
              <w:rPr>
                <w:rStyle w:val="Gl"/>
                <w:color w:val="000000"/>
                <w:sz w:val="24"/>
                <w:szCs w:val="24"/>
              </w:rPr>
              <w:t>danışman</w:t>
            </w:r>
            <w:r w:rsidRPr="007B3560">
              <w:rPr>
                <w:rStyle w:val="apple-converted-space"/>
                <w:color w:val="000000"/>
                <w:sz w:val="24"/>
                <w:szCs w:val="24"/>
              </w:rPr>
              <w:t> </w:t>
            </w:r>
            <w:r w:rsidRPr="007B3560">
              <w:rPr>
                <w:color w:val="000000"/>
                <w:sz w:val="24"/>
                <w:szCs w:val="24"/>
              </w:rPr>
              <w:t>sıfatıyla davet edilebilir.</w:t>
            </w:r>
          </w:p>
          <w:p w:rsidR="00B8193F" w:rsidRDefault="00B8193F" w:rsidP="00B8193F">
            <w:pPr>
              <w:jc w:val="center"/>
              <w:rPr>
                <w:rFonts w:ascii="Times New Roman" w:eastAsia="Times New Roman" w:hAnsi="Times New Roman"/>
                <w:b/>
                <w:sz w:val="24"/>
                <w:szCs w:val="24"/>
              </w:rPr>
            </w:pPr>
          </w:p>
          <w:p w:rsidR="00B8193F" w:rsidRPr="007B3560" w:rsidRDefault="00B8193F" w:rsidP="00B8193F">
            <w:pPr>
              <w:jc w:val="center"/>
              <w:rPr>
                <w:sz w:val="24"/>
                <w:szCs w:val="24"/>
              </w:rPr>
            </w:pPr>
            <w:r w:rsidRPr="007B3560">
              <w:rPr>
                <w:rFonts w:ascii="Times New Roman" w:eastAsia="Times New Roman" w:hAnsi="Times New Roman"/>
                <w:b/>
                <w:sz w:val="24"/>
                <w:szCs w:val="24"/>
              </w:rPr>
              <w:t>ÜÇÜNCÜ BÖLÜM</w:t>
            </w:r>
          </w:p>
          <w:p w:rsidR="00B8193F" w:rsidRPr="007B3560" w:rsidRDefault="00B8193F" w:rsidP="00B8193F">
            <w:pPr>
              <w:jc w:val="center"/>
              <w:rPr>
                <w:sz w:val="24"/>
                <w:szCs w:val="24"/>
              </w:rPr>
            </w:pPr>
            <w:r w:rsidRPr="007B3560">
              <w:rPr>
                <w:rFonts w:ascii="Times New Roman" w:eastAsia="Times New Roman" w:hAnsi="Times New Roman"/>
                <w:b/>
                <w:sz w:val="24"/>
                <w:szCs w:val="24"/>
              </w:rPr>
              <w:t>Önleme, Başvuru ve Müdahale Süreçleri</w:t>
            </w:r>
          </w:p>
          <w:p w:rsidR="00B8193F" w:rsidRPr="007B3560" w:rsidRDefault="00B8193F" w:rsidP="00B8193F">
            <w:pPr>
              <w:jc w:val="both"/>
              <w:rPr>
                <w:sz w:val="24"/>
                <w:szCs w:val="24"/>
              </w:rPr>
            </w:pPr>
            <w:r w:rsidRPr="007B3560">
              <w:rPr>
                <w:rFonts w:ascii="Times New Roman" w:eastAsia="Times New Roman" w:hAnsi="Times New Roman"/>
                <w:b/>
                <w:sz w:val="24"/>
                <w:szCs w:val="24"/>
              </w:rPr>
              <w:t>Başvurunun alınması ve kayıt</w:t>
            </w:r>
          </w:p>
          <w:p w:rsidR="00B8193F" w:rsidRPr="007B3560" w:rsidRDefault="00B8193F" w:rsidP="00B8193F">
            <w:pPr>
              <w:jc w:val="both"/>
              <w:rPr>
                <w:rFonts w:ascii="Times New Roman" w:hAnsi="Times New Roman" w:cs="Times New Roman"/>
                <w:sz w:val="24"/>
                <w:szCs w:val="24"/>
              </w:rPr>
            </w:pPr>
            <w:r w:rsidRPr="007B3560">
              <w:rPr>
                <w:rFonts w:ascii="Times New Roman" w:eastAsia="Times New Roman" w:hAnsi="Times New Roman"/>
                <w:b/>
                <w:sz w:val="24"/>
                <w:szCs w:val="24"/>
              </w:rPr>
              <w:t xml:space="preserve">Madde 8- </w:t>
            </w:r>
            <w:r w:rsidRPr="007B3560">
              <w:rPr>
                <w:rFonts w:ascii="Times New Roman" w:eastAsia="Times New Roman" w:hAnsi="Times New Roman"/>
                <w:bCs/>
                <w:sz w:val="24"/>
                <w:szCs w:val="24"/>
              </w:rPr>
              <w:t>(1)</w:t>
            </w:r>
            <w:r w:rsidRPr="007B3560">
              <w:rPr>
                <w:rFonts w:ascii="Times New Roman" w:eastAsia="Times New Roman" w:hAnsi="Times New Roman"/>
                <w:sz w:val="24"/>
                <w:szCs w:val="24"/>
              </w:rPr>
              <w:t>Komisyona başvurular; yüz yüze, kurumsal e-posta, yazılı dilekçe veya kurumca tanımlanan dijital başvuru kanalları üzerinden alınır. Başvurular, tarih ve kayıt numarası verilerek gizlilik esaslarına uygun şekilde kayıt altına alınır. Acil güvenlik riski bulunan durumlarda, ilgili güvenlik ve sağlık birimleri ile eş zamanlı koordinasyon sağlanır.</w:t>
            </w:r>
            <w:r w:rsidRPr="007B3560">
              <w:rPr>
                <w:rFonts w:ascii="Times New Roman" w:hAnsi="Times New Roman" w:cs="Times New Roman"/>
                <w:color w:val="000000"/>
                <w:sz w:val="24"/>
                <w:szCs w:val="24"/>
              </w:rPr>
              <w:t>Danışma amaçlı başvurular, şikâyet niteliği taşımaksızın değerlendirilebilir; bu başvurular disiplin veya adlî süreci otomatik olarak başlatmaz.”</w:t>
            </w:r>
          </w:p>
          <w:p w:rsidR="00B8193F" w:rsidRPr="007B3560" w:rsidRDefault="00B8193F" w:rsidP="00B8193F">
            <w:pPr>
              <w:jc w:val="both"/>
              <w:rPr>
                <w:sz w:val="24"/>
                <w:szCs w:val="24"/>
              </w:rPr>
            </w:pPr>
            <w:r w:rsidRPr="007B3560">
              <w:rPr>
                <w:rFonts w:ascii="Times New Roman" w:eastAsia="Times New Roman" w:hAnsi="Times New Roman"/>
                <w:b/>
                <w:sz w:val="24"/>
                <w:szCs w:val="24"/>
              </w:rPr>
              <w:t>Ön değerlendirme ve yönlendirme</w:t>
            </w:r>
          </w:p>
          <w:p w:rsidR="00B8193F" w:rsidRPr="007B3560" w:rsidRDefault="00B8193F" w:rsidP="00B8193F">
            <w:pPr>
              <w:jc w:val="both"/>
              <w:rPr>
                <w:sz w:val="24"/>
                <w:szCs w:val="24"/>
              </w:rPr>
            </w:pPr>
            <w:r w:rsidRPr="007B3560">
              <w:rPr>
                <w:rFonts w:ascii="Times New Roman" w:eastAsia="Times New Roman" w:hAnsi="Times New Roman"/>
                <w:b/>
                <w:sz w:val="24"/>
                <w:szCs w:val="24"/>
              </w:rPr>
              <w:t xml:space="preserve">Madde 9- </w:t>
            </w:r>
            <w:r w:rsidRPr="007B3560">
              <w:rPr>
                <w:rFonts w:ascii="Times New Roman" w:eastAsia="Times New Roman" w:hAnsi="Times New Roman"/>
                <w:bCs/>
                <w:sz w:val="24"/>
                <w:szCs w:val="24"/>
              </w:rPr>
              <w:t>(1)</w:t>
            </w:r>
            <w:r w:rsidRPr="007B3560">
              <w:rPr>
                <w:rFonts w:ascii="Times New Roman" w:eastAsia="Times New Roman" w:hAnsi="Times New Roman"/>
                <w:sz w:val="24"/>
                <w:szCs w:val="24"/>
              </w:rPr>
              <w:t>Komisyon; başvurunun kapsam içinde olup olmadığını, aciliyet düzeyini ve ihtiyaç duyulan destek türlerini ön değerlendirme ile belirler. Başvuru sahibi, mevcut seçenekler (psikososyal destek, idari işlem, disiplin süreci, hukuki başvuru yolları) konusunda bilgilendirilir. Rıza ve gizlilik esas alınarak uygun birimlere yönlendirme yapılır.</w:t>
            </w:r>
          </w:p>
          <w:p w:rsidR="00B8193F" w:rsidRPr="007B3560" w:rsidRDefault="00B8193F" w:rsidP="00B8193F">
            <w:pPr>
              <w:jc w:val="both"/>
              <w:rPr>
                <w:sz w:val="24"/>
                <w:szCs w:val="24"/>
              </w:rPr>
            </w:pPr>
            <w:r w:rsidRPr="007B3560">
              <w:rPr>
                <w:rFonts w:ascii="Times New Roman" w:eastAsia="Times New Roman" w:hAnsi="Times New Roman"/>
                <w:b/>
                <w:sz w:val="24"/>
                <w:szCs w:val="24"/>
              </w:rPr>
              <w:t>Destek ve koruyucu önlemler</w:t>
            </w:r>
          </w:p>
          <w:p w:rsidR="00B8193F" w:rsidRPr="007B3560" w:rsidRDefault="00B8193F" w:rsidP="00B8193F">
            <w:pPr>
              <w:jc w:val="both"/>
              <w:rPr>
                <w:sz w:val="24"/>
                <w:szCs w:val="24"/>
              </w:rPr>
            </w:pPr>
            <w:r w:rsidRPr="007B3560">
              <w:rPr>
                <w:rFonts w:ascii="Times New Roman" w:eastAsia="Times New Roman" w:hAnsi="Times New Roman"/>
                <w:b/>
                <w:sz w:val="24"/>
                <w:szCs w:val="24"/>
              </w:rPr>
              <w:t>Madde 10</w:t>
            </w:r>
            <w:r w:rsidRPr="007B3560">
              <w:rPr>
                <w:rFonts w:ascii="Times New Roman" w:eastAsia="Times New Roman" w:hAnsi="Times New Roman"/>
                <w:bCs/>
                <w:sz w:val="24"/>
                <w:szCs w:val="24"/>
              </w:rPr>
              <w:t>-(1)</w:t>
            </w:r>
            <w:r w:rsidRPr="007B3560">
              <w:rPr>
                <w:rFonts w:ascii="Times New Roman" w:eastAsia="Times New Roman" w:hAnsi="Times New Roman"/>
                <w:sz w:val="24"/>
                <w:szCs w:val="24"/>
              </w:rPr>
              <w:t>Komisyon; başvuru sahibinin güvenliği ve iyi oluşunu önceleyen destek mekanizmalarının devreye alınması için ilgili birimlerle iş birliği yapar. Gerekli hallerde akademik düzenlemeler, çalışma/uygulama ortamı tedbirleri ve kampüs güvenliği kapsamında koruyucu önlemlere ilişkin öneriler hazırlanır.</w:t>
            </w:r>
          </w:p>
          <w:p w:rsidR="00B8193F" w:rsidRPr="007B3560" w:rsidRDefault="00B8193F" w:rsidP="00B8193F">
            <w:pPr>
              <w:jc w:val="both"/>
              <w:rPr>
                <w:sz w:val="24"/>
                <w:szCs w:val="24"/>
              </w:rPr>
            </w:pPr>
            <w:r w:rsidRPr="007B3560">
              <w:rPr>
                <w:rFonts w:ascii="Times New Roman" w:eastAsia="Times New Roman" w:hAnsi="Times New Roman"/>
                <w:b/>
                <w:sz w:val="24"/>
                <w:szCs w:val="24"/>
              </w:rPr>
              <w:lastRenderedPageBreak/>
              <w:t>Kurum içi işlem, disiplin ve bildirimler</w:t>
            </w:r>
          </w:p>
          <w:p w:rsidR="00B8193F" w:rsidRPr="007B3560" w:rsidRDefault="00B8193F" w:rsidP="00B8193F">
            <w:pPr>
              <w:jc w:val="both"/>
              <w:rPr>
                <w:sz w:val="24"/>
                <w:szCs w:val="24"/>
              </w:rPr>
            </w:pPr>
            <w:r w:rsidRPr="007B3560">
              <w:rPr>
                <w:rFonts w:ascii="Times New Roman" w:eastAsia="Times New Roman" w:hAnsi="Times New Roman"/>
                <w:b/>
                <w:sz w:val="24"/>
                <w:szCs w:val="24"/>
              </w:rPr>
              <w:t xml:space="preserve">Madde 11- </w:t>
            </w:r>
            <w:r w:rsidRPr="007B3560">
              <w:rPr>
                <w:rFonts w:ascii="Times New Roman" w:eastAsia="Times New Roman" w:hAnsi="Times New Roman"/>
                <w:bCs/>
                <w:sz w:val="24"/>
                <w:szCs w:val="24"/>
              </w:rPr>
              <w:t>(1)</w:t>
            </w:r>
            <w:r w:rsidRPr="007B3560">
              <w:rPr>
                <w:rFonts w:ascii="Times New Roman" w:eastAsia="Times New Roman" w:hAnsi="Times New Roman"/>
                <w:sz w:val="24"/>
                <w:szCs w:val="24"/>
              </w:rPr>
              <w:t>Kurum içi idari süreçler ve disiplin işlemleri, yetkili merciler tarafından yürütülür. Komisyon; süreçlerin zamanında işlemesi, bilgilendirme ve koordinasyonun sağlanması için rehberlik eder; kayıt ve dokümantasyonu gizlilik çerçevesinde sürdürür. Adlî bildirim gerektiren durumlarda ilgili mevzuat hükümleri ve kurum prosedürleri uygulanır.</w:t>
            </w:r>
          </w:p>
          <w:p w:rsidR="00B8193F" w:rsidRPr="007B3560" w:rsidRDefault="00B8193F" w:rsidP="00B8193F">
            <w:pPr>
              <w:jc w:val="both"/>
              <w:rPr>
                <w:sz w:val="24"/>
                <w:szCs w:val="24"/>
              </w:rPr>
            </w:pPr>
            <w:r w:rsidRPr="007B3560">
              <w:rPr>
                <w:rFonts w:ascii="Times New Roman" w:eastAsia="Times New Roman" w:hAnsi="Times New Roman"/>
                <w:b/>
                <w:sz w:val="24"/>
                <w:szCs w:val="24"/>
              </w:rPr>
              <w:t>İzleme, raporlama ve iyileştirme</w:t>
            </w:r>
          </w:p>
          <w:p w:rsidR="00B8193F" w:rsidRDefault="00B8193F" w:rsidP="00B8193F">
            <w:pPr>
              <w:jc w:val="both"/>
              <w:rPr>
                <w:rFonts w:ascii="Times New Roman" w:eastAsia="Times New Roman" w:hAnsi="Times New Roman"/>
                <w:sz w:val="24"/>
                <w:szCs w:val="24"/>
              </w:rPr>
            </w:pPr>
            <w:r w:rsidRPr="007B3560">
              <w:rPr>
                <w:rFonts w:ascii="Times New Roman" w:eastAsia="Times New Roman" w:hAnsi="Times New Roman"/>
                <w:b/>
                <w:sz w:val="24"/>
                <w:szCs w:val="24"/>
              </w:rPr>
              <w:t xml:space="preserve">Madde 12- </w:t>
            </w:r>
            <w:r w:rsidRPr="007B3560">
              <w:rPr>
                <w:rFonts w:ascii="Times New Roman" w:eastAsia="Times New Roman" w:hAnsi="Times New Roman"/>
                <w:bCs/>
                <w:sz w:val="24"/>
                <w:szCs w:val="24"/>
              </w:rPr>
              <w:t>(1)</w:t>
            </w:r>
            <w:r w:rsidRPr="007B3560">
              <w:rPr>
                <w:rFonts w:ascii="Times New Roman" w:eastAsia="Times New Roman" w:hAnsi="Times New Roman"/>
                <w:sz w:val="24"/>
                <w:szCs w:val="24"/>
              </w:rPr>
              <w:t>Komisyon; yıllık plan doğrultusunda eğitim/farkındalık faaliyetlerini, başvuru süreçlerine ilişkin göstergeleri ve iyileştirme adımlarını izler. Kişisel veriler anonimleştirilerek dönemsel/ yıllık faaliyet raporu hazırlanır ve yönetimin onayına sunulur.</w:t>
            </w:r>
          </w:p>
          <w:p w:rsidR="00B8193F" w:rsidRPr="007B3560" w:rsidRDefault="00B8193F" w:rsidP="00B8193F">
            <w:pPr>
              <w:jc w:val="both"/>
              <w:rPr>
                <w:sz w:val="24"/>
                <w:szCs w:val="24"/>
              </w:rPr>
            </w:pPr>
          </w:p>
          <w:p w:rsidR="00B8193F" w:rsidRPr="007B3560" w:rsidRDefault="00B8193F" w:rsidP="00B8193F">
            <w:pPr>
              <w:jc w:val="center"/>
              <w:rPr>
                <w:rFonts w:ascii="Times New Roman" w:eastAsia="MS Mincho" w:hAnsi="Times New Roman" w:cs="Times New Roman"/>
                <w:sz w:val="24"/>
                <w:szCs w:val="24"/>
              </w:rPr>
            </w:pPr>
            <w:r w:rsidRPr="007B3560">
              <w:rPr>
                <w:rFonts w:ascii="Times New Roman" w:eastAsia="MS Mincho" w:hAnsi="Times New Roman" w:cs="Times New Roman"/>
                <w:b/>
                <w:sz w:val="24"/>
                <w:szCs w:val="24"/>
              </w:rPr>
              <w:t>DÖRDÜNCÜ BÖLÜM</w:t>
            </w:r>
          </w:p>
          <w:p w:rsidR="00B8193F" w:rsidRPr="007B3560" w:rsidRDefault="00B8193F" w:rsidP="00B8193F">
            <w:pPr>
              <w:jc w:val="center"/>
              <w:rPr>
                <w:rFonts w:ascii="Times New Roman" w:eastAsia="MS Mincho" w:hAnsi="Times New Roman" w:cs="Times New Roman"/>
                <w:sz w:val="24"/>
                <w:szCs w:val="24"/>
              </w:rPr>
            </w:pPr>
            <w:r w:rsidRPr="007B3560">
              <w:rPr>
                <w:rFonts w:ascii="Times New Roman" w:eastAsia="MS Mincho" w:hAnsi="Times New Roman" w:cs="Times New Roman"/>
                <w:b/>
                <w:sz w:val="24"/>
                <w:szCs w:val="24"/>
              </w:rPr>
              <w:t>Çeşitli ve Son Hükümler</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Hüküm Bulunmayan Hâller</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Madde 13</w:t>
            </w:r>
            <w:r w:rsidRPr="007B3560">
              <w:rPr>
                <w:rFonts w:ascii="Times New Roman" w:eastAsia="MS Mincho" w:hAnsi="Times New Roman" w:cs="Times New Roman"/>
                <w:sz w:val="24"/>
                <w:szCs w:val="24"/>
              </w:rPr>
              <w:t xml:space="preserve"> - (1) Bu usul ve esaslarda hüküm bulunmayan hâllerde ilgili mevzuat hükümleri uygulanır.</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Yürürlük</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Madde 14</w:t>
            </w:r>
            <w:r w:rsidRPr="007B3560">
              <w:rPr>
                <w:rFonts w:ascii="Times New Roman" w:eastAsia="MS Mincho" w:hAnsi="Times New Roman" w:cs="Times New Roman"/>
                <w:sz w:val="24"/>
                <w:szCs w:val="24"/>
              </w:rPr>
              <w:t xml:space="preserve"> - (1) Bu usul ve esaslar, Söke Sağlık Hizmetleri Meslek Yüksekokulu Yönetim Kurulunun onayı ile yürürlüğe girer.</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Yürütme</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Madde 15</w:t>
            </w:r>
            <w:r w:rsidRPr="007B3560">
              <w:rPr>
                <w:rFonts w:ascii="Times New Roman" w:eastAsia="MS Mincho" w:hAnsi="Times New Roman" w:cs="Times New Roman"/>
                <w:sz w:val="24"/>
                <w:szCs w:val="24"/>
              </w:rPr>
              <w:t xml:space="preserve"> - (1) Bu usul ve esasların hükümlerini Söke Sağlık Hizmetleri Meslek Yüksekokulu Müdürlüğü yürütür.</w:t>
            </w:r>
          </w:p>
          <w:p w:rsidR="00B8193F" w:rsidRPr="007B3560" w:rsidRDefault="00B8193F" w:rsidP="00B8193F">
            <w:pPr>
              <w:jc w:val="both"/>
              <w:rPr>
                <w:rFonts w:ascii="Times New Roman" w:eastAsia="MS Mincho" w:hAnsi="Times New Roman" w:cs="Times New Roman"/>
                <w:sz w:val="24"/>
                <w:szCs w:val="24"/>
              </w:rPr>
            </w:pPr>
            <w:r w:rsidRPr="007B3560">
              <w:rPr>
                <w:rFonts w:ascii="Times New Roman" w:eastAsia="MS Mincho" w:hAnsi="Times New Roman" w:cs="Times New Roman"/>
                <w:b/>
                <w:sz w:val="24"/>
                <w:szCs w:val="24"/>
              </w:rPr>
              <w:t>Değişiklik</w:t>
            </w:r>
          </w:p>
          <w:p w:rsidR="00B8193F" w:rsidRPr="007B3560" w:rsidRDefault="00B8193F" w:rsidP="00B8193F">
            <w:pPr>
              <w:jc w:val="both"/>
              <w:rPr>
                <w:rFonts w:ascii="Calibri" w:eastAsia="Times New Roman" w:hAnsi="Calibri" w:cs="Times New Roman"/>
                <w:sz w:val="24"/>
                <w:szCs w:val="24"/>
              </w:rPr>
            </w:pPr>
            <w:r w:rsidRPr="007B3560">
              <w:rPr>
                <w:rFonts w:ascii="Times New Roman" w:eastAsia="MS Mincho" w:hAnsi="Times New Roman" w:cs="Times New Roman"/>
                <w:b/>
                <w:sz w:val="24"/>
                <w:szCs w:val="24"/>
              </w:rPr>
              <w:t>Madde 16</w:t>
            </w:r>
            <w:r w:rsidRPr="007B3560">
              <w:rPr>
                <w:rFonts w:ascii="Times New Roman" w:eastAsia="MS Mincho" w:hAnsi="Times New Roman" w:cs="Times New Roman"/>
                <w:sz w:val="24"/>
                <w:szCs w:val="24"/>
              </w:rPr>
              <w:t xml:space="preserve"> - (1) Bu usul ve esaslarda yapılması önerilen değişiklikler, </w:t>
            </w:r>
            <w:r w:rsidRPr="007B3560">
              <w:rPr>
                <w:rFonts w:ascii="Times New Roman" w:eastAsia="MS Mincho" w:hAnsi="Times New Roman" w:cs="Times New Roman"/>
                <w:bCs/>
                <w:sz w:val="24"/>
                <w:szCs w:val="24"/>
              </w:rPr>
              <w:t>Cinsel Taciz ve Saldırıya Karşı Önleme Komisyonu</w:t>
            </w:r>
            <w:r w:rsidRPr="007B3560">
              <w:rPr>
                <w:rFonts w:ascii="Times New Roman" w:eastAsia="MS Mincho" w:hAnsi="Times New Roman" w:cs="Times New Roman"/>
                <w:sz w:val="24"/>
                <w:szCs w:val="24"/>
              </w:rPr>
              <w:t xml:space="preserve"> kararıyla Yüksekokul Müdürlüğüne sunulur. </w:t>
            </w:r>
            <w:r w:rsidR="00AD64EF">
              <w:rPr>
                <w:rFonts w:ascii="Times New Roman" w:eastAsia="MS Mincho" w:hAnsi="Times New Roman" w:cs="Times New Roman"/>
                <w:kern w:val="0"/>
                <w:sz w:val="24"/>
              </w:rPr>
              <w:t xml:space="preserve">Yüksekokul </w:t>
            </w:r>
            <w:r w:rsidRPr="007B3560">
              <w:rPr>
                <w:rFonts w:ascii="Times New Roman" w:eastAsia="MS Mincho" w:hAnsi="Times New Roman" w:cs="Times New Roman"/>
                <w:sz w:val="24"/>
                <w:szCs w:val="24"/>
              </w:rPr>
              <w:t>Yönetim Kurulu onayı ile yürürlüğe girer.</w:t>
            </w:r>
          </w:p>
          <w:p w:rsidR="007815A1" w:rsidRDefault="007815A1" w:rsidP="00B8193F"/>
        </w:tc>
      </w:tr>
    </w:tbl>
    <w:p w:rsidR="007B0D37" w:rsidRDefault="007B0D37" w:rsidP="00B8193F">
      <w:pPr>
        <w:spacing w:line="240" w:lineRule="auto"/>
      </w:pPr>
    </w:p>
    <w:sectPr w:rsidR="007B0D37" w:rsidSect="001D3C65">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AC2" w:rsidRDefault="001E3AC2" w:rsidP="001D3C65">
      <w:pPr>
        <w:spacing w:after="0" w:line="240" w:lineRule="auto"/>
      </w:pPr>
      <w:r>
        <w:separator/>
      </w:r>
    </w:p>
  </w:endnote>
  <w:endnote w:type="continuationSeparator" w:id="1">
    <w:p w:rsidR="001E3AC2" w:rsidRDefault="001E3AC2"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AC2" w:rsidRDefault="001E3AC2" w:rsidP="001D3C65">
      <w:pPr>
        <w:spacing w:after="0" w:line="240" w:lineRule="auto"/>
      </w:pPr>
      <w:r>
        <w:separator/>
      </w:r>
    </w:p>
  </w:footnote>
  <w:footnote w:type="continuationSeparator" w:id="1">
    <w:p w:rsidR="001E3AC2" w:rsidRDefault="001E3AC2"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SSH-USE-00006</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123DBA" w:rsidRDefault="00B8193F" w:rsidP="00B8193F">
          <w:pPr>
            <w:spacing w:after="0" w:line="276" w:lineRule="auto"/>
            <w:jc w:val="center"/>
            <w:rPr>
              <w:rFonts w:ascii="Times New Roman" w:hAnsi="Times New Roman" w:cs="Times New Roman"/>
              <w:b/>
              <w:bCs/>
              <w:sz w:val="24"/>
              <w:szCs w:val="24"/>
            </w:rPr>
          </w:pPr>
          <w:r w:rsidRPr="00123DBA">
            <w:rPr>
              <w:rFonts w:ascii="Times New Roman" w:hAnsi="Times New Roman" w:cs="Times New Roman"/>
              <w:b/>
              <w:bCs/>
              <w:sz w:val="24"/>
              <w:szCs w:val="24"/>
            </w:rPr>
            <w:t xml:space="preserve">CİNSEL TACİZ VE SALDIRIYA KARŞI ÖNLEME KOMİSYONU </w:t>
          </w:r>
          <w:r w:rsidR="00A56754" w:rsidRPr="00123DBA">
            <w:rPr>
              <w:rFonts w:ascii="Times New Roman" w:hAnsi="Times New Roman" w:cs="Times New Roman"/>
              <w:b/>
              <w:bCs/>
              <w:sz w:val="24"/>
              <w:szCs w:val="24"/>
            </w:rPr>
            <w:t>USUL VE ESASLARI</w:t>
          </w:r>
          <w:r w:rsidR="008B69A2" w:rsidRPr="00123DBA">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6FB30EC"/>
    <w:multiLevelType w:val="hybridMultilevel"/>
    <w:tmpl w:val="FAFAD6AA"/>
    <w:lvl w:ilvl="0" w:tplc="FFFFFFFF">
      <w:start w:val="1"/>
      <w:numFmt w:val="lowerLetter"/>
      <w:lvlText w:val="%1)"/>
      <w:lvlJc w:val="left"/>
      <w:pPr>
        <w:ind w:left="72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4E9C7269"/>
    <w:multiLevelType w:val="hybridMultilevel"/>
    <w:tmpl w:val="52ECBE30"/>
    <w:lvl w:ilvl="0" w:tplc="041F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3">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19">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65F53489"/>
    <w:multiLevelType w:val="hybridMultilevel"/>
    <w:tmpl w:val="73E81EFC"/>
    <w:lvl w:ilvl="0" w:tplc="041F0017">
      <w:start w:val="1"/>
      <w:numFmt w:val="lowerLetter"/>
      <w:lvlText w:val="%1)"/>
      <w:lvlJc w:val="left"/>
      <w:pPr>
        <w:ind w:left="360" w:hanging="360"/>
      </w:pPr>
    </w:lvl>
    <w:lvl w:ilvl="1" w:tplc="034E1CF4">
      <w:start w:val="1"/>
      <w:numFmt w:val="decimal"/>
      <w:lvlText w:val="%2)"/>
      <w:lvlJc w:val="left"/>
      <w:pPr>
        <w:ind w:left="1320" w:hanging="600"/>
      </w:pPr>
      <w:rPr>
        <w:rFonts w:ascii="Times New Roman" w:eastAsia="Times New Roman" w:hAnsi="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6">
    <w:nsid w:val="732761D7"/>
    <w:multiLevelType w:val="hybridMultilevel"/>
    <w:tmpl w:val="A7A4A85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17"/>
  </w:num>
  <w:num w:numId="3">
    <w:abstractNumId w:val="23"/>
  </w:num>
  <w:num w:numId="4">
    <w:abstractNumId w:val="1"/>
  </w:num>
  <w:num w:numId="5">
    <w:abstractNumId w:val="7"/>
  </w:num>
  <w:num w:numId="6">
    <w:abstractNumId w:val="10"/>
  </w:num>
  <w:num w:numId="7">
    <w:abstractNumId w:val="24"/>
  </w:num>
  <w:num w:numId="8">
    <w:abstractNumId w:val="6"/>
  </w:num>
  <w:num w:numId="9">
    <w:abstractNumId w:val="28"/>
  </w:num>
  <w:num w:numId="10">
    <w:abstractNumId w:val="3"/>
  </w:num>
  <w:num w:numId="11">
    <w:abstractNumId w:val="21"/>
  </w:num>
  <w:num w:numId="12">
    <w:abstractNumId w:val="22"/>
  </w:num>
  <w:num w:numId="13">
    <w:abstractNumId w:val="5"/>
  </w:num>
  <w:num w:numId="14">
    <w:abstractNumId w:val="14"/>
  </w:num>
  <w:num w:numId="15">
    <w:abstractNumId w:val="16"/>
  </w:num>
  <w:num w:numId="16">
    <w:abstractNumId w:val="15"/>
  </w:num>
  <w:num w:numId="17">
    <w:abstractNumId w:val="27"/>
  </w:num>
  <w:num w:numId="18">
    <w:abstractNumId w:val="25"/>
  </w:num>
  <w:num w:numId="19">
    <w:abstractNumId w:val="18"/>
  </w:num>
  <w:num w:numId="20">
    <w:abstractNumId w:val="12"/>
  </w:num>
  <w:num w:numId="21">
    <w:abstractNumId w:val="2"/>
  </w:num>
  <w:num w:numId="22">
    <w:abstractNumId w:val="4"/>
  </w:num>
  <w:num w:numId="23">
    <w:abstractNumId w:val="19"/>
  </w:num>
  <w:num w:numId="24">
    <w:abstractNumId w:val="13"/>
  </w:num>
  <w:num w:numId="25">
    <w:abstractNumId w:val="9"/>
  </w:num>
  <w:num w:numId="26">
    <w:abstractNumId w:val="29"/>
  </w:num>
  <w:num w:numId="27">
    <w:abstractNumId w:val="11"/>
  </w:num>
  <w:num w:numId="28">
    <w:abstractNumId w:val="26"/>
  </w:num>
  <w:num w:numId="29">
    <w:abstractNumId w:val="2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4B609F"/>
    <w:rsid w:val="000574D2"/>
    <w:rsid w:val="00123DBA"/>
    <w:rsid w:val="001D3C65"/>
    <w:rsid w:val="001E3AC2"/>
    <w:rsid w:val="002465BC"/>
    <w:rsid w:val="00247C2D"/>
    <w:rsid w:val="002C4DC4"/>
    <w:rsid w:val="0034361F"/>
    <w:rsid w:val="00367719"/>
    <w:rsid w:val="003B3BB1"/>
    <w:rsid w:val="004B609F"/>
    <w:rsid w:val="00614538"/>
    <w:rsid w:val="00621D85"/>
    <w:rsid w:val="0067539A"/>
    <w:rsid w:val="006B1FF9"/>
    <w:rsid w:val="007815A1"/>
    <w:rsid w:val="007B0D37"/>
    <w:rsid w:val="008B1422"/>
    <w:rsid w:val="008B69A2"/>
    <w:rsid w:val="008E04EE"/>
    <w:rsid w:val="00920969"/>
    <w:rsid w:val="009409C3"/>
    <w:rsid w:val="009748C6"/>
    <w:rsid w:val="009A77DB"/>
    <w:rsid w:val="00A56754"/>
    <w:rsid w:val="00A80ABC"/>
    <w:rsid w:val="00A9375D"/>
    <w:rsid w:val="00AD64EF"/>
    <w:rsid w:val="00B12CEC"/>
    <w:rsid w:val="00B50A44"/>
    <w:rsid w:val="00B8193F"/>
    <w:rsid w:val="00BB4282"/>
    <w:rsid w:val="00BC7D62"/>
    <w:rsid w:val="00BF1AB2"/>
    <w:rsid w:val="00BF69F2"/>
    <w:rsid w:val="00D138BB"/>
    <w:rsid w:val="00D47A87"/>
    <w:rsid w:val="00EC53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3">
    <w:name w:val="heading 3"/>
    <w:basedOn w:val="Normal"/>
    <w:next w:val="Normal"/>
    <w:link w:val="Balk3Char"/>
    <w:uiPriority w:val="9"/>
    <w:semiHidden/>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semiHidden/>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apple-converted-space">
    <w:name w:val="apple-converted-space"/>
    <w:basedOn w:val="VarsaylanParagrafYazTipi"/>
    <w:rsid w:val="00B819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1053</Words>
  <Characters>6004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2026-04-02T16:24:00Z</dcterms:created>
  <dcterms:modified xsi:type="dcterms:W3CDTF">2026-04-02T21:19:00Z</dcterms:modified>
</cp:coreProperties>
</file>