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4E3CFC" w:rsidTr="0059286A">
        <w:trPr>
          <w:trHeight w:val="12266"/>
        </w:trPr>
        <w:tc>
          <w:tcPr>
            <w:tcW w:w="9895" w:type="dxa"/>
          </w:tcPr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BİRİNCİ BÖLÜM</w:t>
            </w: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Amaç, Kapsam, Dayanak 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Tanımlar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 xml:space="preserve"> Bu usul ve esasların amacı; Aydın Adnan Menderes Üniversitesi Söke Sağlık Hizmetleri Meslek Yüksekokulu Kalite Komisyonu bünyesinde oluşturulan Liderlik, Y</w:t>
            </w:r>
            <w:bookmarkStart w:id="0" w:name="_GoBack"/>
            <w:bookmarkEnd w:id="0"/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önetişim ve Kalite Alt Komisyonunun kuruluş, görev, yetki, sorumluluk ve çalışma usullerini düzenlemek; liderlik, yönetim ve kalite kültürünün geliştirilmesine yönelik faaliyetlerin planlanması, izlenmesi ve iyileştirilmesine ilişkin çerçeveyi belirlemektir.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2–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 xml:space="preserve"> Bu usul ve esaslar; Liderlik, Yönetişim ve Kalite Alt Komisyonunun oluşturulması, üyelik yapısı, toplantı ve karar alma usulleri, sekretarya işlemleri, raporlama, kanıt yönetimi ile izleme ve iyileştirme faaliyetlerini kapsar.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Dayanak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3–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 xml:space="preserve"> Bu usul ve esaslar; 23/11/2018 tarih ve 30604 sayılı Resmî Gazete’de yayımlanan “Yükseköğretim Kalite Güvencesi ve Yükseköğretim Kalite Kurulu Yönetmeliği” ile Yükseköğretim Kalite Kurulu (YÖKAK) rehberleri ve yükseköğretimde kalite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güvencesine ilişkin ilgili ulusal düzenlemeler esas alınarak hazırlanmıştır.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Tanımlar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4–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Bu usul ve esasların uygulanmasında;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Üniversite:</w:t>
            </w:r>
            <w:r w:rsidRPr="004E3CFC">
              <w:rPr>
                <w:sz w:val="24"/>
                <w:szCs w:val="24"/>
              </w:rPr>
              <w:t xml:space="preserve"> Aydın Adnan Menderes Üniversitesini,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Yüksekokul:</w:t>
            </w:r>
            <w:r w:rsidRPr="004E3CFC">
              <w:rPr>
                <w:sz w:val="24"/>
                <w:szCs w:val="24"/>
              </w:rPr>
              <w:t>Söke Sağlık Hizmetleri Meslek Yüksekokulunu,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Müdür:</w:t>
            </w:r>
            <w:r w:rsidRPr="004E3CFC">
              <w:rPr>
                <w:sz w:val="24"/>
                <w:szCs w:val="24"/>
              </w:rPr>
              <w:t>Söke Sağlık Hizmetleri Meslek Yüksekokulu Müdürünü,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Kalite</w:t>
            </w:r>
            <w:r w:rsidR="00F53C00">
              <w:rPr>
                <w:b/>
                <w:bCs/>
                <w:sz w:val="24"/>
                <w:szCs w:val="24"/>
              </w:rPr>
              <w:t xml:space="preserve"> </w:t>
            </w:r>
            <w:r w:rsidRPr="004E3CFC">
              <w:rPr>
                <w:b/>
                <w:bCs/>
                <w:sz w:val="24"/>
                <w:szCs w:val="24"/>
              </w:rPr>
              <w:t>Komisyonu:</w:t>
            </w:r>
            <w:r w:rsidRPr="004E3CFC">
              <w:rPr>
                <w:sz w:val="24"/>
                <w:szCs w:val="24"/>
              </w:rPr>
              <w:t>Yüksekokul Kalite Komisyonunu,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 xml:space="preserve">Alt Komisyon: </w:t>
            </w:r>
            <w:r w:rsidRPr="004E3CFC">
              <w:rPr>
                <w:sz w:val="24"/>
                <w:szCs w:val="24"/>
              </w:rPr>
              <w:t>Kalite Komisyonu bünyesinde belirli bir alanda faaliyet gösteren komisyonu,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 xml:space="preserve">Liderlik, Yönetişim ve Kalite Alt Komisyonu: </w:t>
            </w:r>
            <w:r w:rsidRPr="004E3CFC">
              <w:rPr>
                <w:sz w:val="24"/>
                <w:szCs w:val="24"/>
              </w:rPr>
              <w:t>Liderlik, yönetişim ve kalite kültürü alanında izleme ve iyileştirme faaliyetlerini yürüten alt komisyonu,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Başkan:</w:t>
            </w:r>
            <w:r w:rsidRPr="004E3CFC">
              <w:rPr>
                <w:sz w:val="24"/>
                <w:szCs w:val="24"/>
              </w:rPr>
              <w:t>Liderlik, Yönetişim ve</w:t>
            </w:r>
            <w:r w:rsidR="00F53C00">
              <w:rPr>
                <w:sz w:val="24"/>
                <w:szCs w:val="24"/>
              </w:rPr>
              <w:t xml:space="preserve"> </w:t>
            </w:r>
            <w:r w:rsidRPr="004E3CFC">
              <w:rPr>
                <w:sz w:val="24"/>
                <w:szCs w:val="24"/>
              </w:rPr>
              <w:t>Kalite Alt Komisyonu Başkanını,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Raportör:</w:t>
            </w:r>
            <w:r w:rsidRPr="004E3CFC">
              <w:rPr>
                <w:sz w:val="24"/>
                <w:szCs w:val="24"/>
              </w:rPr>
              <w:t>Komisyon sekretarya/raportörlük görevini yürüten üyeyi veya görevlendirilen idari personeli,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Üye:</w:t>
            </w:r>
            <w:r w:rsidRPr="004E3CFC">
              <w:rPr>
                <w:sz w:val="24"/>
                <w:szCs w:val="24"/>
              </w:rPr>
              <w:t>Liderlik, Yönetişim ve Kalite Alt Komisyonunda görevli üyeleri,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PUKÖ:</w:t>
            </w:r>
            <w:r w:rsidRPr="004E3CFC">
              <w:rPr>
                <w:sz w:val="24"/>
                <w:szCs w:val="24"/>
              </w:rPr>
              <w:t>Planla-Uygula-Kontrol Et-Önlem Al döngüsünü,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Kanıt:</w:t>
            </w:r>
            <w:r w:rsidRPr="004E3CFC">
              <w:rPr>
                <w:sz w:val="24"/>
                <w:szCs w:val="24"/>
              </w:rPr>
              <w:t>Kalite güvencesi ve akreditasyon süreçlerinde kullanılabilecek, doğrulanabilir ve erişilebilir doküman/veriyi ifade eder.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b/>
                <w:bCs/>
                <w:sz w:val="24"/>
                <w:szCs w:val="24"/>
              </w:rPr>
              <w:t>KPI:</w:t>
            </w:r>
            <w:r w:rsidRPr="004E3CFC">
              <w:rPr>
                <w:sz w:val="24"/>
                <w:szCs w:val="24"/>
              </w:rPr>
              <w:t>Anahtar performans göstergeleri</w:t>
            </w:r>
          </w:p>
          <w:p w:rsidR="004E3CFC" w:rsidRDefault="004E3CFC" w:rsidP="004E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İKİNCİ BÖLÜM</w:t>
            </w: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Komisyonun Oluşturulması ve Çalışma Esasları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Komisyonun Oluşturulması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5–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Komisyonun oluşturulmasında; Yönetim Kurulu kararı ile oluşturulur.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 xml:space="preserve">Komisyon; </w:t>
            </w:r>
            <w:bookmarkStart w:id="1" w:name="_Hlk221622045"/>
            <w:r w:rsidR="00F53C00" w:rsidRPr="00F53C00">
              <w:rPr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1"/>
          <w:p w:rsidR="004E3CFC" w:rsidRPr="004E3CFC" w:rsidRDefault="004E3CFC" w:rsidP="004E3CFC">
            <w:pPr>
              <w:pStyle w:val="ListeParagraf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>Komisyon; Meslek Yüksekokulundaki bölümlerde görevli öğretim</w:t>
            </w:r>
            <w:r>
              <w:rPr>
                <w:sz w:val="24"/>
                <w:szCs w:val="24"/>
              </w:rPr>
              <w:t xml:space="preserve"> </w:t>
            </w:r>
            <w:r w:rsidRPr="004E3CFC">
              <w:rPr>
                <w:sz w:val="24"/>
                <w:szCs w:val="24"/>
              </w:rPr>
              <w:t>elemanları ve üyeleri arasından belirlenen en az üç üye ve komisyon başkanından oluşur.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 xml:space="preserve">Komisyon üyelerinin görev süresi 2 (iki) yıldır. Süresi dolan üyeler, Yüksekokul Müdürlüğünün </w:t>
            </w:r>
            <w:r w:rsidRPr="004E3CFC">
              <w:rPr>
                <w:sz w:val="24"/>
                <w:szCs w:val="24"/>
              </w:rPr>
              <w:lastRenderedPageBreak/>
              <w:t>önerisi ve</w:t>
            </w:r>
            <w:r>
              <w:rPr>
                <w:sz w:val="24"/>
                <w:szCs w:val="24"/>
              </w:rPr>
              <w:t xml:space="preserve"> </w:t>
            </w:r>
            <w:r w:rsidRPr="004E3CFC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 xml:space="preserve"> </w:t>
            </w:r>
            <w:r w:rsidRPr="004E3CFC">
              <w:rPr>
                <w:sz w:val="24"/>
                <w:szCs w:val="24"/>
              </w:rPr>
              <w:t>Yönetim Kurulu kararı ile yeniden görevlendirilebilir.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>Komisyon; ilk toplantısında kendi üyeleri arasından bir başkan yardımcısı ve bir raportör seçebilir.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>Komisyon Başkanı olmadığı zaman başkanın önerdiği üyelerden biri başkana vekalet eder.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Komisyonun Çalışma Esasları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Madde 6</w:t>
            </w:r>
            <w:r w:rsidRPr="004E3CFC">
              <w:rPr>
                <w:rFonts w:ascii="Times New Roman" w:hAnsi="Times New Roman" w:cs="Times New Roman"/>
                <w:bCs/>
                <w:sz w:val="24"/>
                <w:szCs w:val="24"/>
              </w:rPr>
              <w:t>–(1) Komisyonun çalışma esasları;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4"/>
              </w:numPr>
              <w:jc w:val="both"/>
              <w:rPr>
                <w:bCs/>
                <w:sz w:val="24"/>
                <w:szCs w:val="24"/>
              </w:rPr>
            </w:pPr>
            <w:r w:rsidRPr="004E3CFC">
              <w:rPr>
                <w:bCs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4"/>
              </w:numPr>
              <w:jc w:val="both"/>
              <w:rPr>
                <w:bCs/>
                <w:sz w:val="24"/>
                <w:szCs w:val="24"/>
              </w:rPr>
            </w:pPr>
            <w:r w:rsidRPr="004E3CFC">
              <w:rPr>
                <w:bCs/>
                <w:sz w:val="24"/>
                <w:szCs w:val="24"/>
              </w:rPr>
              <w:t>Toplantılar Komisyon Başkanının davetiyle yapılır; toplantı gündemi ve toplantıya ilişkin bilgi/belgeler en az üç gün önceden üyelere bildirilir.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4"/>
              </w:numPr>
              <w:jc w:val="both"/>
              <w:rPr>
                <w:bCs/>
                <w:sz w:val="24"/>
                <w:szCs w:val="24"/>
              </w:rPr>
            </w:pPr>
            <w:bookmarkStart w:id="2" w:name="_Hlk221621881"/>
            <w:r w:rsidRPr="004E3CFC">
              <w:rPr>
                <w:bCs/>
                <w:sz w:val="24"/>
                <w:szCs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2"/>
            <w:r w:rsidRPr="004E3CFC">
              <w:rPr>
                <w:bCs/>
                <w:sz w:val="24"/>
                <w:szCs w:val="24"/>
              </w:rPr>
              <w:t>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4"/>
              </w:numPr>
              <w:jc w:val="both"/>
              <w:rPr>
                <w:bCs/>
                <w:sz w:val="24"/>
                <w:szCs w:val="24"/>
              </w:rPr>
            </w:pPr>
            <w:r w:rsidRPr="004E3CFC">
              <w:rPr>
                <w:bCs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4"/>
              </w:numPr>
              <w:jc w:val="both"/>
              <w:rPr>
                <w:bCs/>
                <w:sz w:val="24"/>
                <w:szCs w:val="24"/>
              </w:rPr>
            </w:pPr>
            <w:r w:rsidRPr="004E3CFC">
              <w:rPr>
                <w:bCs/>
                <w:sz w:val="24"/>
                <w:szCs w:val="24"/>
              </w:rPr>
              <w:t>Komisyonun sekretarya/raportörlük ve yazışma-evrak işlemleri, Komisyon Başkanının koordinasyonunda Raportör tarafından yürütülür.</w:t>
            </w:r>
          </w:p>
          <w:p w:rsidR="00F53C00" w:rsidRDefault="00F53C00" w:rsidP="004E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ÜÇÜNCÜ BÖLÜM</w:t>
            </w: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Komisyonun Görevleri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Madde7–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Komisyonun görevleri şunlardır;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 xml:space="preserve">a) İç kalite güvencesi mekanizmaları kapsamında PUKÖ döngüsünün işleyişini izlemek; izleme sonuçlarına </w:t>
            </w:r>
            <w:r w:rsidR="00F53C00">
              <w:rPr>
                <w:rFonts w:ascii="Times New Roman" w:hAnsi="Times New Roman" w:cs="Times New Roman"/>
                <w:sz w:val="24"/>
                <w:szCs w:val="24"/>
              </w:rPr>
              <w:t>gö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re düzeltici/önleyici faaliyet önerileri geliştirmek; KİDR ve izleme raporları için liderlik alanındaki ver</w:t>
            </w:r>
            <w:r w:rsidR="00F53C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 xml:space="preserve"> ve kanıt katkısını koordine etmek.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b) Kamu oyunu bilgilendirme ve hesap verebilirlik kapsamında kaliteye ilişkin temel dokümanların erişilebilirliği ve güncelliğini izlemek; web duyuruları ve raporlamaya ilişkin standart ve sorumluluk önerileri geliştirmek.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c) Misyon, vizyon ve politikalar çerçevesinde politika belgelerinin uyum ve bütünlüğünü değerlendirmek;  uygulanma düzeyini izlemek ve güncelleme önerileri hazırlamak.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d) Stratejik amaç ve hedeflerin izlenmesi kapsamında göstergelerin (KPI) ölçüm periyotları, veri kaynakları ve raporlama düzeni izlemek; sapmalar için kök neden analizi ve iyileştirme önerileri sunmak.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e) Performans yönetimi kapsamında performans sonuçlarının iyileştirmeye dönüşmesini sağlayacak aksiyonların takibini yapmak; standart raporlama formatları önermek.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f) Yönetim sistemleri/süreç yönetimi kapsamında süreç envanteri, süreç sahipliği ve iş akışlarının güncelliğini izlemek; risk analizleri ve kontrol mekanizmalarına ilişkin öneriler geliştirmek.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g) İç ve dış paydaş katılımı kapsamında paydaş görüşlerinin toplanması, analiz edilmesi ve karar süreçlerine yansıtılmasını izlemek; görüş-karar-uygulama-çıktı ilişkisini kanıtlayacak kayıt düzenini oluşturmak.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h) Öğrenci geri bildirimleri kapsamında ders ve program geri bildirimlerinin toplanması ve analizini izlemek; geri bildirimlerin iyileştirme aksiyonlarına dönüştürülmesini ve kapanış bildirimlerinin yapılmasını sağlamak.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ı) Mezun ilişkileri yönetimi kapsamında mezun izleme sisteminin kurulması/güncellenmesine katkı vermek; istihdam ve memnuniyet verilerinin düzenli raporlanmasını koordine etmek.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="00F5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Uluslararasılaşma (politika, süreç ve performans) kapsamında uluslararasılaşma göstergelerinin izlenmesini ve raporlanmasını takip etmek; iyileştirme alanlarına yönelik öneriler geliştirmek.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Başkanın Görevleri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Madde8–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Başkanın görevleri şunlardır;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a) Komisyonu temsil etmek ve komisyon çalışmalarını yönetmek.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b) Toplantı gündemini ve yıllık çalışma takvimini belirleyerek üyeleri toplantıya davet etmek.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Komisyon kararlarının ilgili birimlere bildirilmesini sağlamak; yazışmaları komisyon adına yürütmek.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d) Gerekli hâllerde geçici çalışma grupları oluşturmak ve koordinasyonunu sağlamak.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e) Komisyonun hazırladığı raporları Yüksekokul Müdürlüğüne sunmak ve izlemek.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Raportörün Görevleri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Madde9–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Raportörün görevleri şunlardır;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a) Komisyon toplantı tutanaklarını tutmak, tutanakların imzalanmasını ve saklanmasını sağlamak.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b) Toplantı günlerini, gündemi, bilgi ve belgeleri üyelerle paylaşmak; gerekli yazışmaları hazırlamak.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c) Komisyon arşivinin düzenli tutulmasını sağlamak; karar, rapor ve ilgili dokümanların erişilebilirliğini temin etmek.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Komisyon Üyelerinin Görevleri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10–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Komisyon üyelerinin görevleri şunlardır;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a) Komisyonun amaç ve faaliyetleri doğrultusunda verilen görevleri yerine getirmek.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b) Komisyon toplantılarına katılmak ve katkı sunmak.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c) Sorumlu olduğu alanlara ilişkin bilgi, belge ve very akışını sağlamak.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d) Komisyon kararlarına gore gerçekleştirilecek görevlendirmeleri yerine getirmek.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Raporlama ve İzleme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11–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(1)Raporlama ve izleme faaliyetleri;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>Komisyon, yürütülen faaliyetlere ilişkin olarak yılda enaz 1 (bir) kez faaliyet raporu hazırlar ve Yüksekokul Müdürlüğüne sunar.</w:t>
            </w:r>
          </w:p>
          <w:p w:rsidR="004E3CFC" w:rsidRPr="004E3CFC" w:rsidRDefault="004E3CFC" w:rsidP="004E3CFC">
            <w:pPr>
              <w:pStyle w:val="ListeParagraf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4E3CFC">
              <w:rPr>
                <w:sz w:val="24"/>
                <w:szCs w:val="24"/>
              </w:rPr>
              <w:t>Komisyon, iç ve dış paydaşlardan gelen geribildirimleri dikkate alarak çalışmalarını düzenli olarak gözden geçirir ve sürekli iyileştirme yaklaşımıyla günceller.</w:t>
            </w:r>
          </w:p>
          <w:p w:rsidR="00F53C00" w:rsidRDefault="00F53C00" w:rsidP="004E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DÖRDÜNCÜ BÖLÜM</w:t>
            </w:r>
          </w:p>
          <w:p w:rsidR="004E3CFC" w:rsidRPr="004E3CFC" w:rsidRDefault="004E3CFC" w:rsidP="004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sz w:val="24"/>
                <w:szCs w:val="24"/>
              </w:rPr>
              <w:t>Çeşitli ve Son Hükümler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Hüküm Bulunmayan Hâller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12- (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1) Bu usul ve esaslar da hüküm bulunmayan hâllerde ilgili mevzuat hükümleri uygulanır.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Yürürlük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13- 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Bu usul ve esaslar, Söke Sağlık Hizmetleri Meslek Yüksekokulu Yönetim Kurulunun onayı ile yürürlüğe girer.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Yürütme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14- 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Bu usul ve esasların hükümlerini Söke Sağlık Hizmetleri Meslek Yüksekokulu Müdürlüğü yürütür.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Değişiklik</w:t>
            </w:r>
          </w:p>
          <w:p w:rsidR="004E3CFC" w:rsidRPr="004E3CFC" w:rsidRDefault="004E3CFC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15- </w:t>
            </w:r>
            <w:r w:rsidRPr="004E3CFC">
              <w:rPr>
                <w:rFonts w:ascii="Times New Roman" w:hAnsi="Times New Roman" w:cs="Times New Roman"/>
                <w:sz w:val="24"/>
                <w:szCs w:val="24"/>
              </w:rPr>
              <w:t>(1) Bu usul ve esaslarda yapılması önerilen değişiklikler, Liderlik, Yönetişim ve Kalite Alt Komisyonu kararıyla Yüksekokul Müdürlüğüne sunulur. Yüksekokul Yönetim Kurulu onayı ile yürürlüğe girer.</w:t>
            </w:r>
          </w:p>
          <w:p w:rsidR="007815A1" w:rsidRPr="004E3CFC" w:rsidRDefault="007815A1" w:rsidP="004E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4E3CFC" w:rsidRDefault="007B0D37" w:rsidP="004E3C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4E3CFC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7F5" w:rsidRDefault="006837F5" w:rsidP="001D3C65">
      <w:pPr>
        <w:spacing w:after="0" w:line="240" w:lineRule="auto"/>
      </w:pPr>
      <w:r>
        <w:separator/>
      </w:r>
    </w:p>
  </w:endnote>
  <w:endnote w:type="continuationSeparator" w:id="1">
    <w:p w:rsidR="006837F5" w:rsidRDefault="006837F5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7F5" w:rsidRDefault="006837F5" w:rsidP="001D3C65">
      <w:pPr>
        <w:spacing w:after="0" w:line="240" w:lineRule="auto"/>
      </w:pPr>
      <w:r>
        <w:separator/>
      </w:r>
    </w:p>
  </w:footnote>
  <w:footnote w:type="continuationSeparator" w:id="1">
    <w:p w:rsidR="006837F5" w:rsidRDefault="006837F5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SSH-USE-00013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4E3CFC" w:rsidP="004E3CFC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LİDERLİK, YÖNETİŞİM VE KALİTE ALT KOMİSYONU 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CE4885"/>
    <w:multiLevelType w:val="hybridMultilevel"/>
    <w:tmpl w:val="3180775C"/>
    <w:lvl w:ilvl="0" w:tplc="5E3824C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42782A"/>
    <w:multiLevelType w:val="hybridMultilevel"/>
    <w:tmpl w:val="4844AC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528BF"/>
    <w:multiLevelType w:val="hybridMultilevel"/>
    <w:tmpl w:val="D17AC8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E77FA4"/>
    <w:multiLevelType w:val="hybridMultilevel"/>
    <w:tmpl w:val="1E0E5FC8"/>
    <w:lvl w:ilvl="0" w:tplc="3B1A9CF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71AD8"/>
    <w:multiLevelType w:val="hybridMultilevel"/>
    <w:tmpl w:val="18445AA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5C72C2"/>
    <w:multiLevelType w:val="hybridMultilevel"/>
    <w:tmpl w:val="784C96A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4F7EA5"/>
    <w:multiLevelType w:val="hybridMultilevel"/>
    <w:tmpl w:val="AB58B94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336B12"/>
    <w:multiLevelType w:val="hybridMultilevel"/>
    <w:tmpl w:val="C818E6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B6DB7"/>
    <w:multiLevelType w:val="hybridMultilevel"/>
    <w:tmpl w:val="9122578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91A32"/>
    <w:multiLevelType w:val="hybridMultilevel"/>
    <w:tmpl w:val="6EB811C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C8537A"/>
    <w:multiLevelType w:val="hybridMultilevel"/>
    <w:tmpl w:val="6CA45BB4"/>
    <w:lvl w:ilvl="0" w:tplc="B2F28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4F2BF5"/>
    <w:multiLevelType w:val="hybridMultilevel"/>
    <w:tmpl w:val="22A0CC7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1"/>
  </w:num>
  <w:num w:numId="3">
    <w:abstractNumId w:val="30"/>
  </w:num>
  <w:num w:numId="4">
    <w:abstractNumId w:val="27"/>
  </w:num>
  <w:num w:numId="5">
    <w:abstractNumId w:val="19"/>
  </w:num>
  <w:num w:numId="6">
    <w:abstractNumId w:val="13"/>
  </w:num>
  <w:num w:numId="7">
    <w:abstractNumId w:val="10"/>
  </w:num>
  <w:num w:numId="8">
    <w:abstractNumId w:val="24"/>
  </w:num>
  <w:num w:numId="9">
    <w:abstractNumId w:val="34"/>
  </w:num>
  <w:num w:numId="10">
    <w:abstractNumId w:val="16"/>
  </w:num>
  <w:num w:numId="11">
    <w:abstractNumId w:val="22"/>
  </w:num>
  <w:num w:numId="12">
    <w:abstractNumId w:val="20"/>
  </w:num>
  <w:num w:numId="13">
    <w:abstractNumId w:val="26"/>
  </w:num>
  <w:num w:numId="14">
    <w:abstractNumId w:val="15"/>
  </w:num>
  <w:num w:numId="15">
    <w:abstractNumId w:val="25"/>
  </w:num>
  <w:num w:numId="16">
    <w:abstractNumId w:val="35"/>
  </w:num>
  <w:num w:numId="17">
    <w:abstractNumId w:val="28"/>
  </w:num>
  <w:num w:numId="18">
    <w:abstractNumId w:val="21"/>
  </w:num>
  <w:num w:numId="19">
    <w:abstractNumId w:val="23"/>
  </w:num>
  <w:num w:numId="20">
    <w:abstractNumId w:val="32"/>
  </w:num>
  <w:num w:numId="21">
    <w:abstractNumId w:val="8"/>
  </w:num>
  <w:num w:numId="22">
    <w:abstractNumId w:val="6"/>
  </w:num>
  <w:num w:numId="23">
    <w:abstractNumId w:val="5"/>
  </w:num>
  <w:num w:numId="24">
    <w:abstractNumId w:val="4"/>
  </w:num>
  <w:num w:numId="25">
    <w:abstractNumId w:val="7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2"/>
  </w:num>
  <w:num w:numId="31">
    <w:abstractNumId w:val="11"/>
  </w:num>
  <w:num w:numId="32">
    <w:abstractNumId w:val="29"/>
  </w:num>
  <w:num w:numId="33">
    <w:abstractNumId w:val="33"/>
  </w:num>
  <w:num w:numId="34">
    <w:abstractNumId w:val="18"/>
  </w:num>
  <w:num w:numId="35">
    <w:abstractNumId w:val="9"/>
  </w:num>
  <w:num w:numId="36">
    <w:abstractNumId w:val="36"/>
  </w:num>
  <w:num w:numId="37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60552"/>
    <w:rsid w:val="001C188F"/>
    <w:rsid w:val="001D3C65"/>
    <w:rsid w:val="001E049B"/>
    <w:rsid w:val="00247C2D"/>
    <w:rsid w:val="002C4DC4"/>
    <w:rsid w:val="00317766"/>
    <w:rsid w:val="0034361F"/>
    <w:rsid w:val="00367719"/>
    <w:rsid w:val="003B3BB1"/>
    <w:rsid w:val="003B60E7"/>
    <w:rsid w:val="004326BB"/>
    <w:rsid w:val="004B609F"/>
    <w:rsid w:val="004E3CFC"/>
    <w:rsid w:val="0059286A"/>
    <w:rsid w:val="005D6D26"/>
    <w:rsid w:val="00614538"/>
    <w:rsid w:val="00621D85"/>
    <w:rsid w:val="0067539A"/>
    <w:rsid w:val="006837F5"/>
    <w:rsid w:val="006B1FF9"/>
    <w:rsid w:val="0076533A"/>
    <w:rsid w:val="007815A1"/>
    <w:rsid w:val="0079152D"/>
    <w:rsid w:val="007B0D37"/>
    <w:rsid w:val="00880E86"/>
    <w:rsid w:val="00882C1D"/>
    <w:rsid w:val="00885084"/>
    <w:rsid w:val="008B1422"/>
    <w:rsid w:val="008B69A2"/>
    <w:rsid w:val="00920969"/>
    <w:rsid w:val="009409C3"/>
    <w:rsid w:val="009A2DA6"/>
    <w:rsid w:val="009A77DB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C02A8"/>
    <w:rsid w:val="00CE051F"/>
    <w:rsid w:val="00D47A87"/>
    <w:rsid w:val="00EA2440"/>
    <w:rsid w:val="00F00616"/>
    <w:rsid w:val="00F45E50"/>
    <w:rsid w:val="00F5017E"/>
    <w:rsid w:val="00F53C00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CF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99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  <w:style w:type="character" w:customStyle="1" w:styleId="Balk2Char">
    <w:name w:val="Başlık 2 Char"/>
    <w:basedOn w:val="VarsaylanParagrafYazTipi"/>
    <w:link w:val="Balk2"/>
    <w:uiPriority w:val="9"/>
    <w:rsid w:val="004E3CF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CF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CFC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CF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CFC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paragraph" w:styleId="AralkYok">
    <w:name w:val="No Spacing"/>
    <w:uiPriority w:val="1"/>
    <w:qFormat/>
    <w:rsid w:val="004E3CFC"/>
    <w:pPr>
      <w:spacing w:after="0" w:line="240" w:lineRule="auto"/>
    </w:pPr>
    <w:rPr>
      <w:rFonts w:eastAsiaTheme="minorEastAsia"/>
      <w:kern w:val="0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E3CF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E3CF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E3CFC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E3CFC"/>
    <w:pPr>
      <w:spacing w:after="120" w:line="480" w:lineRule="auto"/>
    </w:pPr>
    <w:rPr>
      <w:rFonts w:ascii="Times New Roman" w:eastAsiaTheme="minorEastAsia" w:hAnsi="Times New Roman"/>
      <w:kern w:val="0"/>
      <w:sz w:val="24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E3CFC"/>
    <w:rPr>
      <w:rFonts w:ascii="Times New Roman" w:eastAsiaTheme="minorEastAsia" w:hAnsi="Times New Roman"/>
      <w:kern w:val="0"/>
      <w:sz w:val="24"/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4E3CFC"/>
    <w:pPr>
      <w:spacing w:after="120" w:line="276" w:lineRule="auto"/>
    </w:pPr>
    <w:rPr>
      <w:rFonts w:ascii="Times New Roman" w:eastAsiaTheme="minorEastAsia" w:hAnsi="Times New Roman"/>
      <w:kern w:val="0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E3CFC"/>
    <w:rPr>
      <w:rFonts w:ascii="Times New Roman" w:eastAsiaTheme="minorEastAsia" w:hAnsi="Times New Roman"/>
      <w:kern w:val="0"/>
      <w:sz w:val="16"/>
      <w:szCs w:val="16"/>
      <w:lang w:val="en-US"/>
    </w:rPr>
  </w:style>
  <w:style w:type="paragraph" w:styleId="Liste">
    <w:name w:val="List"/>
    <w:basedOn w:val="Normal"/>
    <w:uiPriority w:val="99"/>
    <w:unhideWhenUsed/>
    <w:rsid w:val="004E3CFC"/>
    <w:pPr>
      <w:spacing w:after="200" w:line="276" w:lineRule="auto"/>
      <w:ind w:left="36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2">
    <w:name w:val="List 2"/>
    <w:basedOn w:val="Normal"/>
    <w:uiPriority w:val="99"/>
    <w:unhideWhenUsed/>
    <w:rsid w:val="004E3CFC"/>
    <w:pPr>
      <w:spacing w:after="200" w:line="276" w:lineRule="auto"/>
      <w:ind w:left="72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3">
    <w:name w:val="List 3"/>
    <w:basedOn w:val="Normal"/>
    <w:uiPriority w:val="99"/>
    <w:unhideWhenUsed/>
    <w:rsid w:val="004E3CFC"/>
    <w:pPr>
      <w:spacing w:after="200" w:line="276" w:lineRule="auto"/>
      <w:ind w:left="108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">
    <w:name w:val="List Bullet"/>
    <w:basedOn w:val="Normal"/>
    <w:uiPriority w:val="99"/>
    <w:unhideWhenUsed/>
    <w:rsid w:val="004E3CFC"/>
    <w:pPr>
      <w:numPr>
        <w:numId w:val="21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2">
    <w:name w:val="List Bullet 2"/>
    <w:basedOn w:val="Normal"/>
    <w:uiPriority w:val="99"/>
    <w:unhideWhenUsed/>
    <w:rsid w:val="004E3CFC"/>
    <w:pPr>
      <w:numPr>
        <w:numId w:val="22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3">
    <w:name w:val="List Bullet 3"/>
    <w:basedOn w:val="Normal"/>
    <w:uiPriority w:val="99"/>
    <w:unhideWhenUsed/>
    <w:rsid w:val="004E3CFC"/>
    <w:pPr>
      <w:numPr>
        <w:numId w:val="23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">
    <w:name w:val="List Number"/>
    <w:basedOn w:val="Normal"/>
    <w:uiPriority w:val="99"/>
    <w:unhideWhenUsed/>
    <w:rsid w:val="004E3CFC"/>
    <w:pPr>
      <w:numPr>
        <w:numId w:val="25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2">
    <w:name w:val="List Number 2"/>
    <w:basedOn w:val="Normal"/>
    <w:uiPriority w:val="99"/>
    <w:unhideWhenUsed/>
    <w:rsid w:val="004E3CFC"/>
    <w:pPr>
      <w:numPr>
        <w:numId w:val="26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3">
    <w:name w:val="List Number 3"/>
    <w:basedOn w:val="Normal"/>
    <w:uiPriority w:val="99"/>
    <w:unhideWhenUsed/>
    <w:rsid w:val="004E3CFC"/>
    <w:pPr>
      <w:numPr>
        <w:numId w:val="27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">
    <w:name w:val="List Continue"/>
    <w:basedOn w:val="Normal"/>
    <w:uiPriority w:val="99"/>
    <w:unhideWhenUsed/>
    <w:rsid w:val="004E3CFC"/>
    <w:pPr>
      <w:spacing w:after="120" w:line="276" w:lineRule="auto"/>
      <w:ind w:left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2">
    <w:name w:val="List Continue 2"/>
    <w:basedOn w:val="Normal"/>
    <w:uiPriority w:val="99"/>
    <w:unhideWhenUsed/>
    <w:rsid w:val="004E3CFC"/>
    <w:pPr>
      <w:spacing w:after="120" w:line="276" w:lineRule="auto"/>
      <w:ind w:left="72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3">
    <w:name w:val="List Continue 3"/>
    <w:basedOn w:val="Normal"/>
    <w:uiPriority w:val="99"/>
    <w:unhideWhenUsed/>
    <w:rsid w:val="004E3CFC"/>
    <w:pPr>
      <w:spacing w:after="120" w:line="276" w:lineRule="auto"/>
      <w:ind w:left="108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MakroMetni">
    <w:name w:val="macro"/>
    <w:link w:val="MakroMetniChar"/>
    <w:uiPriority w:val="99"/>
    <w:unhideWhenUsed/>
    <w:rsid w:val="004E3CF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4E3CFC"/>
    <w:rPr>
      <w:rFonts w:ascii="Courier" w:eastAsiaTheme="minorEastAsia" w:hAnsi="Courier"/>
      <w:kern w:val="0"/>
      <w:sz w:val="20"/>
      <w:szCs w:val="20"/>
      <w:lang w:val="en-US"/>
    </w:rPr>
  </w:style>
  <w:style w:type="paragraph" w:styleId="Trnak">
    <w:name w:val="Quote"/>
    <w:basedOn w:val="Normal"/>
    <w:next w:val="Normal"/>
    <w:link w:val="TrnakChar"/>
    <w:uiPriority w:val="29"/>
    <w:qFormat/>
    <w:rsid w:val="004E3CFC"/>
    <w:pPr>
      <w:spacing w:after="200" w:line="276" w:lineRule="auto"/>
    </w:pPr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character" w:customStyle="1" w:styleId="TrnakChar">
    <w:name w:val="Tırnak Char"/>
    <w:basedOn w:val="VarsaylanParagrafYazTipi"/>
    <w:link w:val="Trnak"/>
    <w:uiPriority w:val="29"/>
    <w:rsid w:val="004E3CFC"/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CFC"/>
    <w:pPr>
      <w:spacing w:after="200" w:line="240" w:lineRule="auto"/>
    </w:pPr>
    <w:rPr>
      <w:rFonts w:ascii="Times New Roman" w:eastAsiaTheme="minorEastAsia" w:hAnsi="Times New Roman"/>
      <w:b/>
      <w:bCs/>
      <w:color w:val="4472C4" w:themeColor="accent1"/>
      <w:kern w:val="0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4E3CFC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E3CF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E3CFC"/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4E3CFC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4E3CFC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4E3CFC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4E3CFC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4E3CFC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CFC"/>
    <w:pPr>
      <w:spacing w:line="276" w:lineRule="auto"/>
      <w:outlineLvl w:val="9"/>
    </w:pPr>
    <w:rPr>
      <w:kern w:val="0"/>
      <w:lang w:val="en-US"/>
    </w:rPr>
  </w:style>
  <w:style w:type="table" w:styleId="AkGlgeleme">
    <w:name w:val="Light Shading"/>
    <w:basedOn w:val="NormalTablo"/>
    <w:uiPriority w:val="60"/>
    <w:rsid w:val="004E3CFC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4E3CFC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4E3CFC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4E3CFC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4E3CFC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4E3CFC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4E3CFC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">
    <w:name w:val="Light List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oyuListe">
    <w:name w:val="Dark List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">
    <w:name w:val="Colorful Shading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">
    <w:name w:val="Colorful Grid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E3C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2026-04-02T23:04:00Z</dcterms:created>
  <dcterms:modified xsi:type="dcterms:W3CDTF">2026-04-02T23:04:00Z</dcterms:modified>
</cp:coreProperties>
</file>