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E41F8F" w:rsidTr="0059286A">
        <w:trPr>
          <w:trHeight w:val="12266"/>
        </w:trPr>
        <w:tc>
          <w:tcPr>
            <w:tcW w:w="9895" w:type="dxa"/>
          </w:tcPr>
          <w:p w:rsidR="00E50277" w:rsidRPr="00E41F8F" w:rsidRDefault="00E50277" w:rsidP="00E50277">
            <w:pPr>
              <w:pStyle w:val="NormalWeb"/>
              <w:spacing w:before="0" w:beforeAutospacing="0" w:after="0" w:afterAutospacing="0"/>
              <w:jc w:val="center"/>
              <w:rPr>
                <w:rStyle w:val="Gl"/>
                <w:rFonts w:eastAsiaTheme="majorEastAsia"/>
              </w:rPr>
            </w:pPr>
            <w:r w:rsidRPr="00E41F8F">
              <w:rPr>
                <w:rStyle w:val="Gl"/>
                <w:rFonts w:eastAsiaTheme="majorEastAsia"/>
              </w:rPr>
              <w:t>BİRİNCİ BÖLÜM</w:t>
            </w:r>
          </w:p>
          <w:p w:rsidR="00E50277" w:rsidRPr="00E41F8F" w:rsidRDefault="00E50277" w:rsidP="00E50277">
            <w:pPr>
              <w:pStyle w:val="NormalWeb"/>
              <w:spacing w:before="0" w:beforeAutospacing="0" w:after="0" w:afterAutospacing="0"/>
              <w:jc w:val="center"/>
              <w:rPr>
                <w:rStyle w:val="Gl"/>
                <w:rFonts w:eastAsiaTheme="majorEastAsia"/>
              </w:rPr>
            </w:pPr>
            <w:r w:rsidRPr="00E41F8F">
              <w:rPr>
                <w:rStyle w:val="Gl"/>
                <w:rFonts w:eastAsiaTheme="majorEastAsia"/>
              </w:rPr>
              <w:t>Amaç, Kapsam, Dayanak ve Tanımlar</w:t>
            </w:r>
          </w:p>
          <w:p w:rsidR="00E50277" w:rsidRPr="00E41F8F" w:rsidRDefault="00E50277" w:rsidP="00E50277">
            <w:pPr>
              <w:pStyle w:val="NormalWeb"/>
              <w:spacing w:before="0" w:beforeAutospacing="0" w:after="0" w:afterAutospacing="0"/>
              <w:jc w:val="both"/>
              <w:rPr>
                <w:rStyle w:val="Gl"/>
                <w:rFonts w:eastAsiaTheme="majorEastAsia"/>
              </w:rPr>
            </w:pPr>
            <w:r w:rsidRPr="00E41F8F">
              <w:rPr>
                <w:rStyle w:val="Gl"/>
                <w:rFonts w:eastAsiaTheme="majorEastAsia"/>
              </w:rPr>
              <w:t>Amaç</w:t>
            </w:r>
          </w:p>
          <w:p w:rsidR="00E50277" w:rsidRPr="00E41F8F" w:rsidRDefault="00E50277" w:rsidP="00E50277">
            <w:pPr>
              <w:pStyle w:val="NormalWeb"/>
              <w:spacing w:before="0" w:beforeAutospacing="0" w:after="0" w:afterAutospacing="0"/>
              <w:jc w:val="both"/>
              <w:rPr>
                <w:rFonts w:eastAsiaTheme="majorEastAsia"/>
                <w:b/>
                <w:bCs/>
              </w:rPr>
            </w:pPr>
            <w:r w:rsidRPr="00E41F8F">
              <w:rPr>
                <w:rStyle w:val="Gl"/>
                <w:rFonts w:eastAsiaTheme="majorEastAsia"/>
              </w:rPr>
              <w:t>Madde 1-</w:t>
            </w:r>
            <w:r w:rsidRPr="00E41F8F">
              <w:t>Bu usul ve esasların amacı; mezuniyet komisyonunun kuruluş, görev, yetki ve sorumluluklarına ilişkin çalışma esaslarını belirlemektir.</w:t>
            </w:r>
          </w:p>
          <w:p w:rsidR="00E50277" w:rsidRPr="00E41F8F" w:rsidRDefault="00E50277" w:rsidP="00E50277">
            <w:pPr>
              <w:pStyle w:val="p1"/>
              <w:jc w:val="both"/>
              <w:rPr>
                <w:b/>
                <w:bCs/>
                <w:sz w:val="24"/>
                <w:szCs w:val="24"/>
              </w:rPr>
            </w:pPr>
            <w:r w:rsidRPr="00E41F8F">
              <w:rPr>
                <w:b/>
                <w:bCs/>
                <w:sz w:val="24"/>
                <w:szCs w:val="24"/>
              </w:rPr>
              <w:t>Kapsam</w:t>
            </w:r>
          </w:p>
          <w:p w:rsidR="00E50277" w:rsidRPr="00E41F8F" w:rsidRDefault="00E50277" w:rsidP="00E50277">
            <w:pPr>
              <w:pStyle w:val="p1"/>
              <w:jc w:val="both"/>
              <w:rPr>
                <w:b/>
                <w:bCs/>
                <w:sz w:val="24"/>
                <w:szCs w:val="24"/>
              </w:rPr>
            </w:pPr>
            <w:r w:rsidRPr="00E41F8F">
              <w:rPr>
                <w:b/>
                <w:bCs/>
                <w:sz w:val="24"/>
                <w:szCs w:val="24"/>
              </w:rPr>
              <w:t>Madde 2-</w:t>
            </w:r>
            <w:r w:rsidRPr="00E41F8F">
              <w:rPr>
                <w:sz w:val="24"/>
                <w:szCs w:val="24"/>
              </w:rPr>
              <w:t>Bu usul ve esaslar, Aydın Adnan Menderes Üniversitesi Söke Sağlık Hizmetleri Meslek Yüksekokulu Müdürlüğü’ne bağlı mezuniyet komisyonun kuruluş, görev, yetki ve çalışma esaslarına ilişkin hükümleri kapsar.</w:t>
            </w:r>
          </w:p>
          <w:p w:rsidR="00E50277" w:rsidRPr="00E41F8F" w:rsidRDefault="00E50277" w:rsidP="00E50277">
            <w:pPr>
              <w:pStyle w:val="NormalWeb"/>
              <w:spacing w:before="0" w:beforeAutospacing="0" w:after="0" w:afterAutospacing="0"/>
              <w:jc w:val="both"/>
              <w:rPr>
                <w:rStyle w:val="Gl"/>
                <w:rFonts w:eastAsiaTheme="majorEastAsia"/>
              </w:rPr>
            </w:pPr>
            <w:r w:rsidRPr="00E41F8F">
              <w:rPr>
                <w:rStyle w:val="Gl"/>
                <w:rFonts w:eastAsiaTheme="majorEastAsia"/>
              </w:rPr>
              <w:t>Dayanak</w:t>
            </w:r>
          </w:p>
          <w:p w:rsidR="00E50277" w:rsidRPr="00E41F8F" w:rsidRDefault="00E50277" w:rsidP="00E50277">
            <w:pPr>
              <w:pStyle w:val="NormalWeb"/>
              <w:spacing w:before="0" w:beforeAutospacing="0" w:after="0" w:afterAutospacing="0"/>
              <w:jc w:val="both"/>
            </w:pPr>
            <w:r w:rsidRPr="00E41F8F">
              <w:rPr>
                <w:rStyle w:val="Gl"/>
                <w:rFonts w:eastAsiaTheme="majorEastAsia"/>
              </w:rPr>
              <w:t>Madde 3-</w:t>
            </w:r>
            <w:r w:rsidRPr="00E41F8F">
              <w:t>Bu usul ve esaslar; ilgili mevzuat, üniversitenin web yayıncılığına ilişkin yönerge/ilkeleri ve kurumsal kimlik düzenlemeleri ile yüksekokulun ilgili kurul kararlarına dayanılarak hazırlanmıştır.</w:t>
            </w:r>
          </w:p>
          <w:p w:rsidR="00E50277" w:rsidRPr="00E41F8F" w:rsidRDefault="00E50277" w:rsidP="00E50277">
            <w:pPr>
              <w:pStyle w:val="NormalWeb"/>
              <w:spacing w:before="0" w:beforeAutospacing="0" w:after="0" w:afterAutospacing="0"/>
              <w:jc w:val="both"/>
              <w:rPr>
                <w:rFonts w:eastAsiaTheme="majorEastAsia"/>
                <w:b/>
                <w:bCs/>
              </w:rPr>
            </w:pPr>
            <w:r w:rsidRPr="00E41F8F">
              <w:rPr>
                <w:rStyle w:val="Gl"/>
                <w:rFonts w:eastAsiaTheme="majorEastAsia"/>
              </w:rPr>
              <w:t>Tanımlar</w:t>
            </w:r>
          </w:p>
          <w:p w:rsidR="00E50277" w:rsidRPr="00E41F8F" w:rsidRDefault="00E50277" w:rsidP="00E50277">
            <w:pPr>
              <w:pStyle w:val="NormalWeb"/>
              <w:spacing w:before="0" w:beforeAutospacing="0" w:after="0" w:afterAutospacing="0"/>
              <w:jc w:val="both"/>
              <w:rPr>
                <w:rFonts w:eastAsiaTheme="majorEastAsia"/>
                <w:b/>
                <w:bCs/>
              </w:rPr>
            </w:pPr>
            <w:r w:rsidRPr="00E41F8F">
              <w:rPr>
                <w:rStyle w:val="Gl"/>
                <w:rFonts w:eastAsiaTheme="majorEastAsia"/>
              </w:rPr>
              <w:t>Madde 4-</w:t>
            </w:r>
            <w:r w:rsidRPr="00E41F8F">
              <w:t>Bu usul ve esaslarda geçen;</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Üniversite:</w:t>
            </w:r>
            <w:r w:rsidRPr="00E41F8F">
              <w:t>Aydın Adnan Menderes Üniversitesini,</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Yüksekokul:</w:t>
            </w:r>
            <w:r w:rsidRPr="00E41F8F">
              <w:t xml:space="preserve"> Söke Sağlık Hizmetleri Meslek Yüksekokulunu,</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Müdür:</w:t>
            </w:r>
            <w:r w:rsidRPr="00E41F8F">
              <w:t xml:space="preserve"> Söke Sağlık Hizmetleri Meslek Yüksekokulu Müdürünü,</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Komisyon:</w:t>
            </w:r>
            <w:r w:rsidRPr="00E41F8F">
              <w:t xml:space="preserve"> Söke SHMYO Web Komisyonunu,</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Başkan:</w:t>
            </w:r>
            <w:r w:rsidRPr="00E41F8F">
              <w:t>Mezuniyet Komisyonu Başkanını,</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Raportör:</w:t>
            </w:r>
            <w:r w:rsidRPr="00E41F8F">
              <w:t xml:space="preserve"> Komisyon karar ve tutanaklarını yazılı hale getirerek kayıt altına alan komisyon üyesini,</w:t>
            </w:r>
          </w:p>
          <w:p w:rsidR="00E50277" w:rsidRPr="00E41F8F" w:rsidRDefault="00E50277" w:rsidP="00E50277">
            <w:pPr>
              <w:pStyle w:val="NormalWeb"/>
              <w:numPr>
                <w:ilvl w:val="0"/>
                <w:numId w:val="11"/>
              </w:numPr>
              <w:spacing w:before="0" w:beforeAutospacing="0" w:after="0" w:afterAutospacing="0"/>
              <w:contextualSpacing/>
              <w:jc w:val="both"/>
            </w:pPr>
            <w:r w:rsidRPr="00E41F8F">
              <w:rPr>
                <w:rStyle w:val="Gl"/>
                <w:rFonts w:eastAsiaTheme="majorEastAsia"/>
              </w:rPr>
              <w:t>Üye:</w:t>
            </w:r>
            <w:r w:rsidRPr="00E41F8F">
              <w:t>Mezuniyet Komisyonunda görevli öğretim elemanı/personeli, ifade etmektedir.</w:t>
            </w:r>
          </w:p>
          <w:p w:rsidR="00E41F8F" w:rsidRDefault="00E41F8F" w:rsidP="00E50277">
            <w:pPr>
              <w:jc w:val="center"/>
              <w:rPr>
                <w:rFonts w:ascii="Times New Roman" w:hAnsi="Times New Roman" w:cs="Times New Roman"/>
                <w:b/>
                <w:bCs/>
                <w:sz w:val="24"/>
                <w:szCs w:val="24"/>
              </w:rPr>
            </w:pPr>
          </w:p>
          <w:p w:rsidR="00E50277" w:rsidRPr="00E41F8F" w:rsidRDefault="00E50277" w:rsidP="00E50277">
            <w:pPr>
              <w:jc w:val="center"/>
              <w:rPr>
                <w:rFonts w:ascii="Times New Roman" w:hAnsi="Times New Roman" w:cs="Times New Roman"/>
                <w:b/>
                <w:bCs/>
                <w:sz w:val="24"/>
                <w:szCs w:val="24"/>
              </w:rPr>
            </w:pPr>
            <w:r w:rsidRPr="00E41F8F">
              <w:rPr>
                <w:rFonts w:ascii="Times New Roman" w:hAnsi="Times New Roman" w:cs="Times New Roman"/>
                <w:b/>
                <w:bCs/>
                <w:sz w:val="24"/>
                <w:szCs w:val="24"/>
              </w:rPr>
              <w:t>İKİNCİ BÖLÜM</w:t>
            </w:r>
          </w:p>
          <w:p w:rsidR="00E50277" w:rsidRPr="00E41F8F" w:rsidRDefault="00E50277" w:rsidP="00E50277">
            <w:pPr>
              <w:jc w:val="center"/>
              <w:rPr>
                <w:rStyle w:val="Gl"/>
                <w:rFonts w:ascii="Times New Roman" w:hAnsi="Times New Roman" w:cs="Times New Roman"/>
                <w:b w:val="0"/>
                <w:bCs w:val="0"/>
                <w:sz w:val="24"/>
                <w:szCs w:val="24"/>
              </w:rPr>
            </w:pPr>
            <w:r w:rsidRPr="00E41F8F">
              <w:rPr>
                <w:rFonts w:ascii="Times New Roman" w:hAnsi="Times New Roman" w:cs="Times New Roman"/>
                <w:b/>
                <w:bCs/>
                <w:sz w:val="24"/>
                <w:szCs w:val="24"/>
              </w:rPr>
              <w:t>Komisyonun Oluşturulması ve Çalışma Esasları</w:t>
            </w:r>
          </w:p>
          <w:p w:rsidR="00E50277" w:rsidRPr="00E41F8F" w:rsidRDefault="00E50277" w:rsidP="00E50277">
            <w:pPr>
              <w:pStyle w:val="NormalWeb"/>
              <w:spacing w:before="0" w:beforeAutospacing="0" w:after="0" w:afterAutospacing="0"/>
              <w:jc w:val="both"/>
              <w:rPr>
                <w:rStyle w:val="Gl"/>
                <w:rFonts w:eastAsiaTheme="majorEastAsia"/>
              </w:rPr>
            </w:pPr>
            <w:r w:rsidRPr="00E41F8F">
              <w:rPr>
                <w:rStyle w:val="Gl"/>
                <w:rFonts w:eastAsiaTheme="majorEastAsia"/>
              </w:rPr>
              <w:t xml:space="preserve">Komisyonun Oluşturulması </w:t>
            </w:r>
          </w:p>
          <w:p w:rsidR="00E50277" w:rsidRPr="00E41F8F" w:rsidRDefault="00E50277" w:rsidP="00E50277">
            <w:pPr>
              <w:pStyle w:val="NormalWeb"/>
              <w:spacing w:before="0" w:beforeAutospacing="0" w:after="0" w:afterAutospacing="0"/>
              <w:jc w:val="both"/>
              <w:rPr>
                <w:rStyle w:val="Gl"/>
                <w:rFonts w:eastAsiaTheme="majorEastAsia"/>
              </w:rPr>
            </w:pPr>
            <w:r w:rsidRPr="00E41F8F">
              <w:rPr>
                <w:rStyle w:val="Gl"/>
                <w:rFonts w:eastAsiaTheme="majorEastAsia"/>
              </w:rPr>
              <w:t xml:space="preserve">Madde 5- (1) Komisyonun Oluşturulması; </w:t>
            </w:r>
          </w:p>
          <w:p w:rsidR="00E50277" w:rsidRPr="00E41F8F" w:rsidRDefault="00E50277" w:rsidP="00E50277">
            <w:pPr>
              <w:pStyle w:val="ListeParagraf"/>
              <w:numPr>
                <w:ilvl w:val="0"/>
                <w:numId w:val="8"/>
              </w:numPr>
              <w:jc w:val="both"/>
              <w:rPr>
                <w:rFonts w:eastAsia="MS Mincho"/>
                <w:sz w:val="24"/>
                <w:szCs w:val="24"/>
              </w:rPr>
            </w:pPr>
            <w:r w:rsidRPr="00E41F8F">
              <w:rPr>
                <w:rFonts w:eastAsia="MS Mincho"/>
                <w:sz w:val="24"/>
                <w:szCs w:val="24"/>
              </w:rPr>
              <w:t xml:space="preserve">Komisyon; </w:t>
            </w:r>
            <w:bookmarkStart w:id="0" w:name="_Hlk221622045"/>
            <w:r w:rsidRPr="00E41F8F">
              <w:rPr>
                <w:rFonts w:eastAsia="MS Mincho"/>
                <w:sz w:val="24"/>
                <w:szCs w:val="24"/>
              </w:rPr>
              <w:t>Yüksekokul Müdürlüğünün önerisi ve Yüksekokul Yönetim Kurulu kararı ile oluşturulur.</w:t>
            </w:r>
          </w:p>
          <w:bookmarkEnd w:id="0"/>
          <w:p w:rsidR="00E50277" w:rsidRPr="00E41F8F" w:rsidRDefault="00E50277" w:rsidP="00E50277">
            <w:pPr>
              <w:pStyle w:val="ListeParagraf"/>
              <w:numPr>
                <w:ilvl w:val="0"/>
                <w:numId w:val="8"/>
              </w:numPr>
              <w:jc w:val="both"/>
              <w:rPr>
                <w:rFonts w:eastAsia="MS Mincho"/>
                <w:color w:val="000000" w:themeColor="text1"/>
                <w:sz w:val="24"/>
                <w:szCs w:val="24"/>
              </w:rPr>
            </w:pPr>
            <w:r w:rsidRPr="00E41F8F">
              <w:rPr>
                <w:color w:val="000000" w:themeColor="text1"/>
                <w:sz w:val="24"/>
                <w:szCs w:val="24"/>
              </w:rPr>
              <w:t>Komisyon; Meslek Yüksekokulundaki bölümlerde görevli öğretim elemanları ve üyeleri arasından belirlenen en az üç üye ve komisyon başkanından oluşur.</w:t>
            </w:r>
          </w:p>
          <w:p w:rsidR="00E50277" w:rsidRPr="00E41F8F" w:rsidRDefault="00E50277" w:rsidP="00E50277">
            <w:pPr>
              <w:pStyle w:val="ListeParagraf"/>
              <w:numPr>
                <w:ilvl w:val="0"/>
                <w:numId w:val="8"/>
              </w:numPr>
              <w:jc w:val="both"/>
              <w:rPr>
                <w:rFonts w:eastAsia="MS Mincho"/>
                <w:sz w:val="24"/>
                <w:szCs w:val="24"/>
              </w:rPr>
            </w:pPr>
            <w:r w:rsidRPr="00E41F8F">
              <w:rPr>
                <w:rFonts w:eastAsia="MS Mincho"/>
                <w:sz w:val="24"/>
                <w:szCs w:val="24"/>
              </w:rPr>
              <w:t>Komisyon üyelerinin görev süresi 2 (iki) yıldır. Süresi dolan üyeler, Yüksekokul Müdürlüğünün önerisi ve Yüksekokul Yönetim Kurulu kararı ile yeniden görevlendirilebilir.</w:t>
            </w:r>
          </w:p>
          <w:p w:rsidR="00E50277" w:rsidRPr="00E41F8F" w:rsidRDefault="00E50277" w:rsidP="00E50277">
            <w:pPr>
              <w:pStyle w:val="ListeParagraf"/>
              <w:numPr>
                <w:ilvl w:val="0"/>
                <w:numId w:val="8"/>
              </w:numPr>
              <w:jc w:val="both"/>
              <w:rPr>
                <w:rFonts w:eastAsia="MS Mincho"/>
                <w:sz w:val="24"/>
                <w:szCs w:val="24"/>
              </w:rPr>
            </w:pPr>
            <w:r w:rsidRPr="00E41F8F">
              <w:rPr>
                <w:rFonts w:eastAsia="MS Mincho"/>
                <w:sz w:val="24"/>
                <w:szCs w:val="24"/>
              </w:rPr>
              <w:t>Komisyon; ilk toplantısında kendi üyeleri arasından bir başkan yardımcısı ve bir raportör seçebilir.</w:t>
            </w:r>
          </w:p>
          <w:p w:rsidR="00E50277" w:rsidRPr="00E41F8F" w:rsidRDefault="00E50277" w:rsidP="00E50277">
            <w:pPr>
              <w:pStyle w:val="ListeParagraf"/>
              <w:numPr>
                <w:ilvl w:val="0"/>
                <w:numId w:val="8"/>
              </w:numPr>
              <w:jc w:val="both"/>
              <w:rPr>
                <w:rStyle w:val="Gl"/>
                <w:rFonts w:eastAsia="MS Mincho"/>
                <w:b w:val="0"/>
                <w:bCs w:val="0"/>
                <w:sz w:val="24"/>
                <w:szCs w:val="24"/>
              </w:rPr>
            </w:pPr>
            <w:r w:rsidRPr="00E41F8F">
              <w:rPr>
                <w:sz w:val="24"/>
                <w:szCs w:val="24"/>
              </w:rPr>
              <w:t>Komisyon Başkanı olmadığı zaman başkanın önerdiği üyelerden biri başkana vekalet eder.</w:t>
            </w:r>
          </w:p>
          <w:p w:rsidR="00E50277" w:rsidRPr="00E41F8F" w:rsidRDefault="00E50277" w:rsidP="00E50277">
            <w:pPr>
              <w:pStyle w:val="NormalWeb"/>
              <w:spacing w:before="0" w:beforeAutospacing="0" w:after="0" w:afterAutospacing="0"/>
              <w:contextualSpacing/>
              <w:jc w:val="both"/>
              <w:rPr>
                <w:b/>
                <w:bCs/>
              </w:rPr>
            </w:pPr>
            <w:r w:rsidRPr="00E41F8F">
              <w:rPr>
                <w:b/>
                <w:bCs/>
              </w:rPr>
              <w:t xml:space="preserve">Komisyonun Çalışma Esasları </w:t>
            </w:r>
          </w:p>
          <w:p w:rsidR="00E50277" w:rsidRPr="00E41F8F" w:rsidRDefault="00E50277" w:rsidP="00E50277">
            <w:pPr>
              <w:pStyle w:val="NormalWeb"/>
              <w:spacing w:before="0" w:beforeAutospacing="0" w:after="0" w:afterAutospacing="0"/>
              <w:contextualSpacing/>
              <w:jc w:val="both"/>
              <w:rPr>
                <w:b/>
                <w:bCs/>
              </w:rPr>
            </w:pPr>
            <w:r w:rsidRPr="00E41F8F">
              <w:rPr>
                <w:b/>
                <w:bCs/>
              </w:rPr>
              <w:t>Madde 6-</w:t>
            </w:r>
            <w:r w:rsidRPr="00E41F8F">
              <w:t>(1) Komisyonun Çalışma Esasları;</w:t>
            </w:r>
          </w:p>
          <w:p w:rsidR="00E50277" w:rsidRPr="00E41F8F" w:rsidRDefault="00E50277" w:rsidP="00E50277">
            <w:pPr>
              <w:pStyle w:val="NormalWeb"/>
              <w:numPr>
                <w:ilvl w:val="0"/>
                <w:numId w:val="9"/>
              </w:numPr>
              <w:spacing w:before="0" w:beforeAutospacing="0" w:after="0" w:afterAutospacing="0"/>
              <w:contextualSpacing/>
              <w:jc w:val="both"/>
            </w:pPr>
            <w:r w:rsidRPr="00E41F8F">
              <w:t>Komisyon yılda en az iki kez olağan olarak toplanır. Gerekli görüldüğünde başkanın çağrısı ile olağanüstü toplantı yapılabilir.</w:t>
            </w:r>
          </w:p>
          <w:p w:rsidR="00E50277" w:rsidRPr="00E41F8F" w:rsidRDefault="00E50277" w:rsidP="00E50277">
            <w:pPr>
              <w:pStyle w:val="NormalWeb"/>
              <w:numPr>
                <w:ilvl w:val="0"/>
                <w:numId w:val="9"/>
              </w:numPr>
              <w:spacing w:before="0" w:beforeAutospacing="0" w:after="0" w:afterAutospacing="0"/>
              <w:contextualSpacing/>
              <w:jc w:val="both"/>
            </w:pPr>
            <w:r w:rsidRPr="00E41F8F">
              <w:t>Toplantılar Komisyon Başkanının davetiyle yapılır; toplantı gündemi ve toplantıya ilişkin bilgi/belgeler en az üç gün önceden üyelere bildirilir.</w:t>
            </w:r>
          </w:p>
          <w:p w:rsidR="00E50277" w:rsidRPr="00E41F8F" w:rsidRDefault="00E50277" w:rsidP="00E50277">
            <w:pPr>
              <w:pStyle w:val="NormalWeb"/>
              <w:numPr>
                <w:ilvl w:val="0"/>
                <w:numId w:val="9"/>
              </w:numPr>
              <w:spacing w:before="0" w:beforeAutospacing="0" w:after="0" w:afterAutospacing="0"/>
              <w:contextualSpacing/>
              <w:jc w:val="both"/>
            </w:pPr>
            <w:r w:rsidRPr="00E41F8F">
              <w:t>Komisyon üye tam sayısının salt çoğunluğu ile toplanır; kararlar toplantıya katılanların oy çokluğu ile alınır. Oyların eşitliği hâlinde Başkanın oyu yönünde karar alınmış sayılır.</w:t>
            </w:r>
          </w:p>
          <w:p w:rsidR="00E50277" w:rsidRPr="00E41F8F" w:rsidRDefault="00E50277" w:rsidP="00E50277">
            <w:pPr>
              <w:pStyle w:val="NormalWeb"/>
              <w:numPr>
                <w:ilvl w:val="0"/>
                <w:numId w:val="9"/>
              </w:numPr>
              <w:spacing w:before="0" w:beforeAutospacing="0" w:after="0" w:afterAutospacing="0"/>
              <w:contextualSpacing/>
              <w:jc w:val="both"/>
            </w:pPr>
            <w:r w:rsidRPr="00E41F8F">
              <w:lastRenderedPageBreak/>
              <w:t>Her toplantı sonrası karar ve faaliyetleri içeren toplantı tutanağı hazırlanır; tutanaklar imzalanarak arşivlenir.</w:t>
            </w:r>
          </w:p>
          <w:p w:rsidR="00E50277" w:rsidRPr="00E41F8F" w:rsidRDefault="00E50277" w:rsidP="00E50277">
            <w:pPr>
              <w:pStyle w:val="NormalWeb"/>
              <w:numPr>
                <w:ilvl w:val="0"/>
                <w:numId w:val="9"/>
              </w:numPr>
              <w:spacing w:before="0" w:beforeAutospacing="0" w:after="0" w:afterAutospacing="0"/>
              <w:contextualSpacing/>
              <w:jc w:val="both"/>
            </w:pPr>
            <w:r w:rsidRPr="00E41F8F">
              <w:t>Komisyonun sekretarya/raportörlük ve yazışma-evrak işlemleri, Komisyon Başkanının koordinasyonunda Raportör tarafından yürütülür.</w:t>
            </w:r>
          </w:p>
          <w:p w:rsidR="00E50277" w:rsidRPr="00E41F8F" w:rsidRDefault="00E50277" w:rsidP="00E50277">
            <w:pPr>
              <w:pStyle w:val="NormalWeb"/>
              <w:spacing w:before="0" w:beforeAutospacing="0" w:after="0" w:afterAutospacing="0"/>
              <w:jc w:val="both"/>
              <w:rPr>
                <w:rStyle w:val="Gl"/>
                <w:rFonts w:eastAsiaTheme="majorEastAsia"/>
              </w:rPr>
            </w:pPr>
            <w:r w:rsidRPr="00E41F8F">
              <w:rPr>
                <w:rFonts w:eastAsiaTheme="majorEastAsia"/>
                <w:b/>
                <w:bCs/>
              </w:rPr>
              <w:t>Görev ve Sorumluluk</w:t>
            </w:r>
          </w:p>
          <w:p w:rsidR="00E50277" w:rsidRPr="00E41F8F" w:rsidRDefault="00E50277" w:rsidP="00E50277">
            <w:pPr>
              <w:pStyle w:val="NormalWeb"/>
              <w:spacing w:before="0" w:beforeAutospacing="0" w:after="0" w:afterAutospacing="0"/>
              <w:jc w:val="both"/>
              <w:rPr>
                <w:b/>
                <w:bCs/>
              </w:rPr>
            </w:pPr>
            <w:r w:rsidRPr="00E41F8F">
              <w:rPr>
                <w:rFonts w:eastAsiaTheme="majorEastAsia"/>
                <w:b/>
                <w:bCs/>
              </w:rPr>
              <w:t>Madde 7-</w:t>
            </w:r>
            <w:r w:rsidRPr="00E41F8F">
              <w:rPr>
                <w:rFonts w:eastAsiaTheme="majorEastAsia"/>
              </w:rPr>
              <w:t>(1)</w:t>
            </w:r>
            <w:r w:rsidRPr="00E41F8F">
              <w:t>Başkanın görevleri;</w:t>
            </w:r>
          </w:p>
          <w:p w:rsidR="00E50277" w:rsidRPr="00E41F8F" w:rsidRDefault="00E50277" w:rsidP="00E50277">
            <w:pPr>
              <w:pStyle w:val="NormalWeb"/>
              <w:spacing w:before="0" w:beforeAutospacing="0" w:after="0" w:afterAutospacing="0"/>
              <w:contextualSpacing/>
              <w:jc w:val="both"/>
            </w:pPr>
            <w:r w:rsidRPr="00E41F8F">
              <w:t>a) Komisyonu yönetmek ve süreci kontrol etmek</w:t>
            </w:r>
          </w:p>
          <w:p w:rsidR="00E50277" w:rsidRPr="00E41F8F" w:rsidRDefault="00E50277" w:rsidP="00E50277">
            <w:pPr>
              <w:pStyle w:val="NormalWeb"/>
              <w:spacing w:before="0" w:beforeAutospacing="0" w:after="0" w:afterAutospacing="0"/>
              <w:contextualSpacing/>
              <w:jc w:val="both"/>
            </w:pPr>
            <w:r w:rsidRPr="00E41F8F">
              <w:t>b) Mezuniyet koşullarının denetlenmesini sağlamak</w:t>
            </w:r>
          </w:p>
          <w:p w:rsidR="00E50277" w:rsidRPr="00E41F8F" w:rsidRDefault="00E50277" w:rsidP="00E50277">
            <w:pPr>
              <w:pStyle w:val="NormalWeb"/>
              <w:spacing w:before="0" w:beforeAutospacing="0" w:after="0" w:afterAutospacing="0"/>
              <w:contextualSpacing/>
              <w:jc w:val="both"/>
            </w:pPr>
            <w:r w:rsidRPr="00E41F8F">
              <w:t>c) Kararların mevzuata uygunluğunu güvence altına almak</w:t>
            </w:r>
          </w:p>
          <w:p w:rsidR="00E50277" w:rsidRPr="00E41F8F" w:rsidRDefault="00E50277" w:rsidP="00E50277">
            <w:pPr>
              <w:pStyle w:val="NormalWeb"/>
              <w:spacing w:before="0" w:beforeAutospacing="0" w:after="0" w:afterAutospacing="0"/>
              <w:contextualSpacing/>
              <w:jc w:val="both"/>
            </w:pPr>
            <w:r w:rsidRPr="00E41F8F">
              <w:t>d) Komisyon kararlarını resmileştirmek</w:t>
            </w:r>
          </w:p>
          <w:p w:rsidR="00E50277" w:rsidRPr="00E41F8F" w:rsidRDefault="00E50277" w:rsidP="00E50277">
            <w:pPr>
              <w:pStyle w:val="NormalWeb"/>
              <w:spacing w:before="0" w:beforeAutospacing="0" w:after="0" w:afterAutospacing="0"/>
              <w:contextualSpacing/>
              <w:jc w:val="both"/>
            </w:pPr>
            <w:r w:rsidRPr="00E41F8F">
              <w:t xml:space="preserve">d) İtiraz ve tereddütleri değerlendirmek </w:t>
            </w:r>
          </w:p>
          <w:p w:rsidR="00E50277" w:rsidRPr="00E41F8F" w:rsidRDefault="00E50277" w:rsidP="00E50277">
            <w:pPr>
              <w:pStyle w:val="NormalWeb"/>
              <w:spacing w:before="0" w:beforeAutospacing="0" w:after="0" w:afterAutospacing="0"/>
              <w:contextualSpacing/>
              <w:jc w:val="both"/>
            </w:pPr>
            <w:r w:rsidRPr="00E41F8F">
              <w:t>e) Arşiv ve şeffaflığı sağlamak</w:t>
            </w:r>
          </w:p>
          <w:p w:rsidR="00E50277" w:rsidRPr="00E41F8F" w:rsidRDefault="00E50277" w:rsidP="00E50277">
            <w:pPr>
              <w:pStyle w:val="NormalWeb"/>
              <w:spacing w:before="0" w:beforeAutospacing="0" w:after="0" w:afterAutospacing="0"/>
              <w:jc w:val="both"/>
              <w:rPr>
                <w:rStyle w:val="Gl"/>
                <w:rFonts w:eastAsiaTheme="majorEastAsia"/>
              </w:rPr>
            </w:pPr>
            <w:r w:rsidRPr="00E41F8F">
              <w:rPr>
                <w:rFonts w:eastAsiaTheme="majorEastAsia"/>
                <w:b/>
                <w:bCs/>
              </w:rPr>
              <w:t xml:space="preserve">Madde 8- </w:t>
            </w:r>
            <w:r w:rsidRPr="00E41F8F">
              <w:rPr>
                <w:rFonts w:eastAsiaTheme="majorEastAsia"/>
              </w:rPr>
              <w:t>(1)</w:t>
            </w:r>
            <w:r w:rsidRPr="00E41F8F">
              <w:rPr>
                <w:rStyle w:val="Gl"/>
                <w:rFonts w:eastAsiaTheme="majorEastAsia"/>
              </w:rPr>
              <w:t>Raportörün görevleri;</w:t>
            </w:r>
          </w:p>
          <w:p w:rsidR="00E50277" w:rsidRPr="00E41F8F" w:rsidRDefault="00E50277" w:rsidP="00E50277">
            <w:pPr>
              <w:pStyle w:val="NormalWeb"/>
              <w:spacing w:before="0" w:beforeAutospacing="0" w:after="0" w:afterAutospacing="0"/>
              <w:contextualSpacing/>
              <w:jc w:val="both"/>
            </w:pPr>
            <w:r w:rsidRPr="00E41F8F">
              <w:t>a) Toplantı tutanaklarını yazmak, kararları kayıt altına almak ve imza sürecini yürütmek,</w:t>
            </w:r>
          </w:p>
          <w:p w:rsidR="00E50277" w:rsidRPr="00E41F8F" w:rsidRDefault="00E50277" w:rsidP="00E50277">
            <w:pPr>
              <w:pStyle w:val="NormalWeb"/>
              <w:spacing w:before="0" w:beforeAutospacing="0" w:after="0" w:afterAutospacing="0"/>
              <w:contextualSpacing/>
              <w:jc w:val="both"/>
            </w:pPr>
            <w:r w:rsidRPr="00E41F8F">
              <w:t>b) Tutanak ve eklerini komisyon karar dosyasında güvenli şekilde arşivlemek,</w:t>
            </w:r>
          </w:p>
          <w:p w:rsidR="00E50277" w:rsidRPr="00E41F8F" w:rsidRDefault="00E50277" w:rsidP="00E50277">
            <w:pPr>
              <w:pStyle w:val="NormalWeb"/>
              <w:spacing w:before="0" w:beforeAutospacing="0" w:after="0" w:afterAutospacing="0"/>
              <w:contextualSpacing/>
              <w:jc w:val="both"/>
            </w:pPr>
            <w:r w:rsidRPr="00E41F8F">
              <w:t>c) Komisyon yazışmalarında başkanla koordineli olarak gerekli metinleri hazırlamak.</w:t>
            </w:r>
          </w:p>
          <w:p w:rsidR="00E50277" w:rsidRPr="00E41F8F" w:rsidRDefault="00E50277" w:rsidP="00E50277">
            <w:pPr>
              <w:pStyle w:val="NormalWeb"/>
              <w:spacing w:before="0" w:beforeAutospacing="0" w:after="0" w:afterAutospacing="0"/>
              <w:contextualSpacing/>
              <w:jc w:val="both"/>
              <w:rPr>
                <w:rStyle w:val="Gl"/>
                <w:rFonts w:eastAsiaTheme="majorEastAsia"/>
              </w:rPr>
            </w:pPr>
            <w:r w:rsidRPr="00E41F8F">
              <w:rPr>
                <w:rFonts w:eastAsiaTheme="majorEastAsia"/>
                <w:b/>
                <w:bCs/>
              </w:rPr>
              <w:t xml:space="preserve">Madde 7- </w:t>
            </w:r>
            <w:r w:rsidRPr="00E41F8F">
              <w:rPr>
                <w:rFonts w:eastAsiaTheme="majorEastAsia"/>
              </w:rPr>
              <w:t xml:space="preserve">(1) </w:t>
            </w:r>
            <w:r w:rsidRPr="00E41F8F">
              <w:rPr>
                <w:rStyle w:val="Gl"/>
                <w:rFonts w:eastAsiaTheme="majorEastAsia"/>
              </w:rPr>
              <w:t>Üyelerin görevleri;</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a) </w:t>
            </w:r>
            <w:r w:rsidRPr="00E41F8F">
              <w:rPr>
                <w:rFonts w:ascii="Times New Roman" w:hAnsi="Times New Roman" w:cs="Times New Roman"/>
                <w:kern w:val="0"/>
                <w:sz w:val="24"/>
                <w:szCs w:val="24"/>
              </w:rPr>
              <w:t>Mezuniyet Komisyonu, oluşma amaçları ile ilgili çalışmalardan sorumludur.Komisyon başkanı ve tüm komisyon üyeleri çalışmalarında müdüre karşı sorumludur,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b) Komisyonun tüm çalışmalarında öğrenci işleri birimi yardımcı olur,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c) </w:t>
            </w:r>
            <w:r w:rsidRPr="00E41F8F">
              <w:rPr>
                <w:rFonts w:ascii="Times New Roman" w:hAnsi="Times New Roman" w:cs="Times New Roman"/>
                <w:kern w:val="0"/>
                <w:sz w:val="24"/>
                <w:szCs w:val="24"/>
              </w:rPr>
              <w:t>Eğitim öğretim son döneminde öğrencilerin mezuniyet şartlarını sağlaması konusunda gerekli inceleme ve denetlemeleri yapmak,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d) </w:t>
            </w:r>
            <w:r w:rsidRPr="00E41F8F">
              <w:rPr>
                <w:rFonts w:ascii="Times New Roman" w:hAnsi="Times New Roman" w:cs="Times New Roman"/>
                <w:kern w:val="0"/>
                <w:sz w:val="24"/>
                <w:szCs w:val="24"/>
              </w:rPr>
              <w:t>Mezun durumundaki öğrencilerin durumlarını görüşmek ve değerlendirmek,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e) </w:t>
            </w:r>
            <w:r w:rsidRPr="00E41F8F">
              <w:rPr>
                <w:rFonts w:ascii="Times New Roman" w:hAnsi="Times New Roman" w:cs="Times New Roman"/>
                <w:kern w:val="0"/>
                <w:sz w:val="24"/>
                <w:szCs w:val="24"/>
              </w:rPr>
              <w:t>Eğitim-öğretim planına göre tüm yarıyıllardaki zorunlu ve seçmeli dersleri eksiksiz alan öğrencilerin mezun edilmesiyle ilgili karar almak,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f) </w:t>
            </w:r>
            <w:r w:rsidRPr="00E41F8F">
              <w:rPr>
                <w:rFonts w:ascii="Times New Roman" w:hAnsi="Times New Roman" w:cs="Times New Roman"/>
                <w:kern w:val="0"/>
                <w:sz w:val="24"/>
                <w:szCs w:val="24"/>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g) </w:t>
            </w:r>
            <w:r w:rsidRPr="00E41F8F">
              <w:rPr>
                <w:rFonts w:ascii="Times New Roman" w:hAnsi="Times New Roman" w:cs="Times New Roman"/>
                <w:kern w:val="0"/>
                <w:sz w:val="24"/>
                <w:szCs w:val="24"/>
              </w:rPr>
              <w:t>İlişik kesme işlemleri için gerekli formları toplamak ve öğrenci işlerine iletmek,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kern w:val="0"/>
                <w:sz w:val="24"/>
                <w:szCs w:val="24"/>
              </w:rPr>
              <w:t>h) Mezun durumundaki öğrencilerin mezuniyet etkinlikleri ile görüşlerini değerlendirmek,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kern w:val="0"/>
                <w:sz w:val="24"/>
                <w:szCs w:val="24"/>
              </w:rPr>
              <w:t>i) Mezuniyet törenleri için gerekeli hazırlık ve planlama yapmak,</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kern w:val="0"/>
                <w:sz w:val="24"/>
                <w:szCs w:val="24"/>
              </w:rPr>
              <w:t>j) Mezunları izlenmek ve iletişim sağlanmaktır.</w:t>
            </w:r>
          </w:p>
          <w:p w:rsidR="00E50277" w:rsidRPr="00E41F8F" w:rsidRDefault="00E50277" w:rsidP="00E50277">
            <w:pPr>
              <w:pStyle w:val="NormalWeb"/>
              <w:spacing w:before="0" w:beforeAutospacing="0" w:after="0" w:afterAutospacing="0"/>
              <w:jc w:val="both"/>
              <w:rPr>
                <w:rStyle w:val="Gl"/>
                <w:rFonts w:eastAsiaTheme="majorEastAsia"/>
              </w:rPr>
            </w:pPr>
            <w:r w:rsidRPr="00E41F8F">
              <w:rPr>
                <w:rStyle w:val="Gl"/>
                <w:rFonts w:eastAsiaTheme="majorEastAsia"/>
              </w:rPr>
              <w:t>Komisyonun Çalışma Biçimi</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4"/>
                <w:szCs w:val="24"/>
              </w:rPr>
            </w:pPr>
            <w:r w:rsidRPr="00E41F8F">
              <w:rPr>
                <w:rFonts w:ascii="Times New Roman" w:hAnsi="Times New Roman" w:cs="Times New Roman"/>
                <w:b/>
                <w:bCs/>
                <w:sz w:val="24"/>
                <w:szCs w:val="24"/>
              </w:rPr>
              <w:t xml:space="preserve">Madde 8- </w:t>
            </w:r>
            <w:r w:rsidRPr="00E41F8F">
              <w:rPr>
                <w:rFonts w:ascii="Times New Roman" w:hAnsi="Times New Roman" w:cs="Times New Roman"/>
                <w:sz w:val="24"/>
                <w:szCs w:val="24"/>
              </w:rPr>
              <w:t xml:space="preserve">(1)Komisyonun çalışma biçimi; </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a) </w:t>
            </w:r>
            <w:r w:rsidRPr="00E41F8F">
              <w:rPr>
                <w:rFonts w:ascii="Times New Roman" w:hAnsi="Times New Roman" w:cs="Times New Roman"/>
                <w:kern w:val="0"/>
                <w:sz w:val="24"/>
                <w:szCs w:val="24"/>
              </w:rPr>
              <w:t>Komisyon, bir eğitim-öğretim yılı süresince her yarıyılda en az bir kez, başkanın daveti üzerine toplanarak gündemdeki konuları görüşür ve toplantı görüşmeleri tutanakla kayıt altına alır.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b) </w:t>
            </w:r>
            <w:r w:rsidRPr="00E41F8F">
              <w:rPr>
                <w:rFonts w:ascii="Times New Roman" w:hAnsi="Times New Roman" w:cs="Times New Roman"/>
                <w:kern w:val="0"/>
                <w:sz w:val="24"/>
                <w:szCs w:val="24"/>
              </w:rPr>
              <w:t>Komisyonun toplanabilmesi için üyelerin salt çoğunluğu gerekir. Kararlar üyelerin salt çoğunluğuyla alınır.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c) </w:t>
            </w:r>
            <w:r w:rsidRPr="00E41F8F">
              <w:rPr>
                <w:rFonts w:ascii="Times New Roman" w:hAnsi="Times New Roman" w:cs="Times New Roman"/>
                <w:kern w:val="0"/>
                <w:sz w:val="24"/>
                <w:szCs w:val="24"/>
              </w:rPr>
              <w:t>Kurulda çekimser oy kullanılmaz, eşitlik durumunda komisyon başkanının oyu iki oy sayılır.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E41F8F">
              <w:rPr>
                <w:rFonts w:ascii="Times New Roman" w:hAnsi="Times New Roman" w:cs="Times New Roman"/>
                <w:sz w:val="24"/>
                <w:szCs w:val="24"/>
              </w:rPr>
              <w:t xml:space="preserve">d) </w:t>
            </w:r>
            <w:r w:rsidRPr="00E41F8F">
              <w:rPr>
                <w:rFonts w:ascii="Times New Roman" w:hAnsi="Times New Roman" w:cs="Times New Roman"/>
                <w:kern w:val="0"/>
                <w:sz w:val="24"/>
                <w:szCs w:val="24"/>
              </w:rPr>
              <w:t>Komisyonun raportörlüğü ve sekretaryasını komisyon başkanı tarafından seçilen bir üye yapar.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4"/>
                <w:szCs w:val="24"/>
              </w:rPr>
            </w:pPr>
            <w:r w:rsidRPr="00E41F8F">
              <w:rPr>
                <w:rFonts w:ascii="Times New Roman" w:hAnsi="Times New Roman" w:cs="Times New Roman"/>
                <w:b/>
                <w:sz w:val="24"/>
                <w:szCs w:val="24"/>
              </w:rPr>
              <w:t>Raporlama ve İzleme</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4"/>
                <w:szCs w:val="24"/>
              </w:rPr>
            </w:pPr>
            <w:r w:rsidRPr="00E41F8F">
              <w:rPr>
                <w:rFonts w:ascii="Times New Roman" w:hAnsi="Times New Roman" w:cs="Times New Roman"/>
                <w:b/>
                <w:bCs/>
                <w:sz w:val="24"/>
                <w:szCs w:val="24"/>
              </w:rPr>
              <w:t xml:space="preserve">Madde 9- (1) </w:t>
            </w:r>
            <w:r w:rsidRPr="00E41F8F">
              <w:rPr>
                <w:rFonts w:ascii="Times New Roman" w:hAnsi="Times New Roman" w:cs="Times New Roman"/>
                <w:bCs/>
                <w:sz w:val="24"/>
                <w:szCs w:val="24"/>
              </w:rPr>
              <w:t xml:space="preserve">Raporlama ve izleme faaliyetleri; </w:t>
            </w:r>
          </w:p>
          <w:p w:rsidR="00E50277" w:rsidRPr="00E41F8F" w:rsidRDefault="00E50277" w:rsidP="00E50277">
            <w:pPr>
              <w:pStyle w:val="ListeParagraf"/>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r w:rsidRPr="00E41F8F">
              <w:rPr>
                <w:sz w:val="24"/>
                <w:szCs w:val="24"/>
              </w:rPr>
              <w:t>Komisyon, yürütülen faaliyetlere ilişkin olarak yılda en az 1 (bir) kez faaliyet raporu hazırlar ve Yüksekokul Müdürlüğüne sunar.</w:t>
            </w:r>
          </w:p>
          <w:p w:rsidR="00E50277" w:rsidRPr="00E41F8F" w:rsidRDefault="00E50277" w:rsidP="00E50277">
            <w:pPr>
              <w:pStyle w:val="ListeParagraf"/>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r w:rsidRPr="00E41F8F">
              <w:rPr>
                <w:sz w:val="24"/>
                <w:szCs w:val="24"/>
              </w:rPr>
              <w:t>Akreditasyon başvurusu yapılan programlar için sürece özel ilerleme raporları hazırlar.</w:t>
            </w:r>
          </w:p>
          <w:p w:rsidR="00E50277" w:rsidRPr="00E41F8F" w:rsidRDefault="00E50277" w:rsidP="00E50277">
            <w:pPr>
              <w:pStyle w:val="ListeParagraf"/>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r w:rsidRPr="00E41F8F">
              <w:rPr>
                <w:sz w:val="24"/>
                <w:szCs w:val="24"/>
              </w:rPr>
              <w:t>Komisyon, iç ve dış paydaşlardan gelen geri bildirimleri dikkate alarak çalışmalarını düzenli olarak gözden geçirir ve sürekli iyileştirme yaklaşımıyla günceller</w:t>
            </w: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4"/>
                <w:szCs w:val="24"/>
              </w:rPr>
            </w:pP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4"/>
                <w:szCs w:val="24"/>
              </w:rPr>
            </w:pPr>
          </w:p>
          <w:p w:rsidR="00E50277" w:rsidRPr="00E41F8F" w:rsidRDefault="00E50277" w:rsidP="00E502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4"/>
                <w:szCs w:val="24"/>
              </w:rPr>
            </w:pPr>
          </w:p>
          <w:p w:rsidR="00E50277" w:rsidRPr="00E41F8F" w:rsidRDefault="00E50277" w:rsidP="00E50277">
            <w:pPr>
              <w:jc w:val="center"/>
              <w:rPr>
                <w:rFonts w:ascii="Times New Roman" w:hAnsi="Times New Roman" w:cs="Times New Roman"/>
                <w:b/>
                <w:bCs/>
                <w:sz w:val="24"/>
                <w:szCs w:val="24"/>
              </w:rPr>
            </w:pPr>
            <w:r w:rsidRPr="00E41F8F">
              <w:rPr>
                <w:rFonts w:ascii="Times New Roman" w:hAnsi="Times New Roman" w:cs="Times New Roman"/>
                <w:b/>
                <w:bCs/>
                <w:sz w:val="24"/>
                <w:szCs w:val="24"/>
              </w:rPr>
              <w:lastRenderedPageBreak/>
              <w:t>ÜÇÜNCÜ BÖLÜM</w:t>
            </w:r>
          </w:p>
          <w:p w:rsidR="00E50277" w:rsidRPr="00E41F8F" w:rsidRDefault="00E50277" w:rsidP="00E50277">
            <w:pPr>
              <w:jc w:val="center"/>
              <w:rPr>
                <w:rFonts w:ascii="Times New Roman" w:hAnsi="Times New Roman" w:cs="Times New Roman"/>
                <w:b/>
                <w:bCs/>
                <w:sz w:val="24"/>
                <w:szCs w:val="24"/>
              </w:rPr>
            </w:pPr>
            <w:r w:rsidRPr="00E41F8F">
              <w:rPr>
                <w:rFonts w:ascii="Times New Roman" w:hAnsi="Times New Roman" w:cs="Times New Roman"/>
                <w:b/>
                <w:bCs/>
                <w:sz w:val="24"/>
                <w:szCs w:val="24"/>
              </w:rPr>
              <w:t>Çeşitli ve Son Hükümler</w:t>
            </w:r>
          </w:p>
          <w:p w:rsidR="00E50277" w:rsidRPr="00E41F8F" w:rsidRDefault="00E50277" w:rsidP="00E50277">
            <w:pPr>
              <w:pStyle w:val="NormalWeb"/>
              <w:spacing w:before="0" w:beforeAutospacing="0" w:after="0" w:afterAutospacing="0"/>
              <w:jc w:val="both"/>
              <w:rPr>
                <w:b/>
                <w:bCs/>
              </w:rPr>
            </w:pPr>
            <w:r w:rsidRPr="00E41F8F">
              <w:rPr>
                <w:b/>
                <w:bCs/>
              </w:rPr>
              <w:t>Hüküm Bulunmayan Hâller</w:t>
            </w:r>
          </w:p>
          <w:p w:rsidR="00E50277" w:rsidRPr="00E41F8F" w:rsidRDefault="00E50277" w:rsidP="00E50277">
            <w:pPr>
              <w:pStyle w:val="NormalWeb"/>
              <w:spacing w:before="0" w:beforeAutospacing="0" w:after="0" w:afterAutospacing="0"/>
              <w:jc w:val="both"/>
            </w:pPr>
            <w:r w:rsidRPr="00E41F8F">
              <w:rPr>
                <w:b/>
                <w:bCs/>
              </w:rPr>
              <w:t>Madde 10-</w:t>
            </w:r>
            <w:r w:rsidRPr="00E41F8F">
              <w:t xml:space="preserve"> (1) Bu usul ve esaslarda hüküm bulunmayan hâllerde ilgili mevzuat hükümleri uygulanır.</w:t>
            </w:r>
          </w:p>
          <w:p w:rsidR="00E50277" w:rsidRPr="00E41F8F" w:rsidRDefault="00E50277" w:rsidP="00E50277">
            <w:pPr>
              <w:pStyle w:val="NormalWeb"/>
              <w:spacing w:before="0" w:beforeAutospacing="0" w:after="0" w:afterAutospacing="0"/>
              <w:jc w:val="both"/>
              <w:rPr>
                <w:b/>
                <w:bCs/>
              </w:rPr>
            </w:pPr>
            <w:r w:rsidRPr="00E41F8F">
              <w:rPr>
                <w:b/>
                <w:bCs/>
              </w:rPr>
              <w:t>Yürürlük</w:t>
            </w:r>
          </w:p>
          <w:p w:rsidR="00E50277" w:rsidRPr="00E41F8F" w:rsidRDefault="00E50277" w:rsidP="00E50277">
            <w:pPr>
              <w:pStyle w:val="NormalWeb"/>
              <w:spacing w:before="0" w:beforeAutospacing="0" w:after="0" w:afterAutospacing="0"/>
              <w:jc w:val="both"/>
              <w:rPr>
                <w:b/>
                <w:bCs/>
              </w:rPr>
            </w:pPr>
            <w:r w:rsidRPr="00E41F8F">
              <w:rPr>
                <w:b/>
                <w:bCs/>
              </w:rPr>
              <w:t>Madde 11-</w:t>
            </w:r>
            <w:r w:rsidRPr="00E41F8F">
              <w:t xml:space="preserve"> (1) Bu usul ve esaslar, Söke Sağlık Hizmetleri Meslek Yüksekokulu Yönetim Kurulunun onayı ile yürürlüğe girer.</w:t>
            </w:r>
          </w:p>
          <w:p w:rsidR="00E50277" w:rsidRPr="00E41F8F" w:rsidRDefault="00E50277" w:rsidP="00E50277">
            <w:pPr>
              <w:pStyle w:val="NormalWeb"/>
              <w:spacing w:before="0" w:beforeAutospacing="0" w:after="0" w:afterAutospacing="0"/>
              <w:jc w:val="both"/>
              <w:rPr>
                <w:b/>
                <w:bCs/>
              </w:rPr>
            </w:pPr>
            <w:r w:rsidRPr="00E41F8F">
              <w:rPr>
                <w:b/>
                <w:bCs/>
              </w:rPr>
              <w:t>Yürütme</w:t>
            </w:r>
          </w:p>
          <w:p w:rsidR="00E50277" w:rsidRPr="00E41F8F" w:rsidRDefault="00E50277" w:rsidP="00E50277">
            <w:pPr>
              <w:pStyle w:val="NormalWeb"/>
              <w:spacing w:before="0" w:beforeAutospacing="0" w:after="0" w:afterAutospacing="0"/>
              <w:jc w:val="both"/>
            </w:pPr>
            <w:r w:rsidRPr="00E41F8F">
              <w:rPr>
                <w:b/>
                <w:bCs/>
              </w:rPr>
              <w:t>Madde 12-</w:t>
            </w:r>
            <w:r w:rsidRPr="00E41F8F">
              <w:t xml:space="preserve"> (1) Bu usul ve esasların hükümlerini Söke Sağlık Hizmetleri Meslek Yüksekokulu Müdürlüğü yürütür.</w:t>
            </w:r>
          </w:p>
          <w:p w:rsidR="00E50277" w:rsidRPr="00E41F8F" w:rsidRDefault="00E50277" w:rsidP="00E50277">
            <w:pPr>
              <w:pStyle w:val="NormalWeb"/>
              <w:spacing w:before="0" w:beforeAutospacing="0" w:after="0" w:afterAutospacing="0"/>
              <w:jc w:val="both"/>
              <w:rPr>
                <w:b/>
                <w:bCs/>
              </w:rPr>
            </w:pPr>
            <w:r w:rsidRPr="00E41F8F">
              <w:rPr>
                <w:b/>
                <w:bCs/>
              </w:rPr>
              <w:t>Değişiklik</w:t>
            </w:r>
          </w:p>
          <w:p w:rsidR="00E50277" w:rsidRPr="00E41F8F" w:rsidRDefault="00E50277" w:rsidP="00E50277">
            <w:pPr>
              <w:pStyle w:val="NormalWeb"/>
              <w:spacing w:before="0" w:beforeAutospacing="0" w:after="0" w:afterAutospacing="0"/>
              <w:jc w:val="both"/>
            </w:pPr>
            <w:r w:rsidRPr="00E41F8F">
              <w:rPr>
                <w:b/>
                <w:bCs/>
              </w:rPr>
              <w:t>Madde 13-</w:t>
            </w:r>
            <w:r w:rsidRPr="00E41F8F">
              <w:t xml:space="preserve"> (1) Bu usul ve esaslarda yapılması önerilen değişiklikler, Mezuniyet Komisyonu kararıyla Yüksekokul Müdürlüğüne sunulur. </w:t>
            </w:r>
            <w:r w:rsidR="00E41F8F">
              <w:t xml:space="preserve">Yüksekokul </w:t>
            </w:r>
            <w:r w:rsidRPr="00E41F8F">
              <w:t>Yönetim Kurulu onayı ile yürürlüğe girer.</w:t>
            </w:r>
          </w:p>
          <w:p w:rsidR="007815A1" w:rsidRPr="00E41F8F" w:rsidRDefault="007815A1" w:rsidP="00E50277">
            <w:pPr>
              <w:jc w:val="both"/>
              <w:rPr>
                <w:rFonts w:ascii="Times New Roman" w:hAnsi="Times New Roman" w:cs="Times New Roman"/>
                <w:sz w:val="24"/>
                <w:szCs w:val="24"/>
              </w:rPr>
            </w:pPr>
          </w:p>
        </w:tc>
      </w:tr>
    </w:tbl>
    <w:p w:rsidR="007B0D37" w:rsidRPr="00E41F8F" w:rsidRDefault="007B0D37" w:rsidP="00E50277">
      <w:pPr>
        <w:spacing w:after="0" w:line="240" w:lineRule="auto"/>
        <w:jc w:val="both"/>
        <w:rPr>
          <w:rFonts w:ascii="Times New Roman" w:hAnsi="Times New Roman" w:cs="Times New Roman"/>
          <w:sz w:val="24"/>
          <w:szCs w:val="24"/>
        </w:rPr>
      </w:pPr>
    </w:p>
    <w:sectPr w:rsidR="007B0D37" w:rsidRPr="00E41F8F"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04" w:rsidRDefault="005B7104" w:rsidP="001D3C65">
      <w:pPr>
        <w:spacing w:after="0" w:line="240" w:lineRule="auto"/>
      </w:pPr>
      <w:r>
        <w:separator/>
      </w:r>
    </w:p>
  </w:endnote>
  <w:endnote w:type="continuationSeparator" w:id="1">
    <w:p w:rsidR="005B7104" w:rsidRDefault="005B7104"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04" w:rsidRDefault="005B7104" w:rsidP="001D3C65">
      <w:pPr>
        <w:spacing w:after="0" w:line="240" w:lineRule="auto"/>
      </w:pPr>
      <w:r>
        <w:separator/>
      </w:r>
    </w:p>
  </w:footnote>
  <w:footnote w:type="continuationSeparator" w:id="1">
    <w:p w:rsidR="005B7104" w:rsidRDefault="005B7104"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SSH-USE-00016</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E41F8F" w:rsidRDefault="00E50277" w:rsidP="00E50277">
          <w:pPr>
            <w:spacing w:after="0" w:line="276" w:lineRule="auto"/>
            <w:jc w:val="center"/>
            <w:rPr>
              <w:rFonts w:ascii="Times New Roman" w:hAnsi="Times New Roman" w:cs="Times New Roman"/>
              <w:b/>
              <w:bCs/>
              <w:sz w:val="24"/>
              <w:szCs w:val="24"/>
            </w:rPr>
          </w:pPr>
          <w:r w:rsidRPr="00E41F8F">
            <w:rPr>
              <w:rFonts w:ascii="Times New Roman" w:hAnsi="Times New Roman" w:cs="Times New Roman"/>
              <w:b/>
              <w:bCs/>
              <w:sz w:val="24"/>
              <w:szCs w:val="24"/>
            </w:rPr>
            <w:t xml:space="preserve">MEZUNİYET </w:t>
          </w:r>
          <w:r w:rsidR="00A56754" w:rsidRPr="00E41F8F">
            <w:rPr>
              <w:rFonts w:ascii="Times New Roman" w:hAnsi="Times New Roman" w:cs="Times New Roman"/>
              <w:b/>
              <w:bCs/>
              <w:sz w:val="24"/>
              <w:szCs w:val="24"/>
            </w:rPr>
            <w:t>KOMİSYONU USUL VE ESASLARI</w:t>
          </w:r>
          <w:r w:rsidR="008B69A2" w:rsidRPr="00E41F8F">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25CF"/>
    <w:multiLevelType w:val="hybridMultilevel"/>
    <w:tmpl w:val="42423C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6254CC0"/>
    <w:multiLevelType w:val="hybridMultilevel"/>
    <w:tmpl w:val="42AE8EF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A7650FB"/>
    <w:multiLevelType w:val="hybridMultilevel"/>
    <w:tmpl w:val="CED098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D4367D"/>
    <w:multiLevelType w:val="hybridMultilevel"/>
    <w:tmpl w:val="1D50F0EE"/>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2D6A7813"/>
    <w:multiLevelType w:val="hybridMultilevel"/>
    <w:tmpl w:val="A19EC8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FDE7946"/>
    <w:multiLevelType w:val="hybridMultilevel"/>
    <w:tmpl w:val="870C37B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525847C5"/>
    <w:multiLevelType w:val="hybridMultilevel"/>
    <w:tmpl w:val="3B242F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8697660"/>
    <w:multiLevelType w:val="hybridMultilevel"/>
    <w:tmpl w:val="0E0A0A5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62CC6B21"/>
    <w:multiLevelType w:val="hybridMultilevel"/>
    <w:tmpl w:val="1EE6A17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63E5078B"/>
    <w:multiLevelType w:val="hybridMultilevel"/>
    <w:tmpl w:val="27B25E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67D2962"/>
    <w:multiLevelType w:val="hybridMultilevel"/>
    <w:tmpl w:val="AECC53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10"/>
  </w:num>
  <w:num w:numId="3">
    <w:abstractNumId w:val="9"/>
  </w:num>
  <w:num w:numId="4">
    <w:abstractNumId w:val="7"/>
  </w:num>
  <w:num w:numId="5">
    <w:abstractNumId w:val="4"/>
  </w:num>
  <w:num w:numId="6">
    <w:abstractNumId w:val="2"/>
  </w:num>
  <w:num w:numId="7">
    <w:abstractNumId w:val="0"/>
  </w:num>
  <w:num w:numId="8">
    <w:abstractNumId w:val="1"/>
  </w:num>
  <w:num w:numId="9">
    <w:abstractNumId w:val="8"/>
  </w:num>
  <w:num w:numId="10">
    <w:abstractNumId w:val="5"/>
  </w:num>
  <w:num w:numId="11">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4B609F"/>
    <w:rsid w:val="000574D2"/>
    <w:rsid w:val="001077E8"/>
    <w:rsid w:val="001C188F"/>
    <w:rsid w:val="001D3C65"/>
    <w:rsid w:val="001E049B"/>
    <w:rsid w:val="00247C2D"/>
    <w:rsid w:val="002B239C"/>
    <w:rsid w:val="002C4DC4"/>
    <w:rsid w:val="0034361F"/>
    <w:rsid w:val="00367719"/>
    <w:rsid w:val="003B3BB1"/>
    <w:rsid w:val="003B60E7"/>
    <w:rsid w:val="004326BB"/>
    <w:rsid w:val="004B609F"/>
    <w:rsid w:val="004C7FAC"/>
    <w:rsid w:val="0059286A"/>
    <w:rsid w:val="005B7104"/>
    <w:rsid w:val="00614538"/>
    <w:rsid w:val="00621D85"/>
    <w:rsid w:val="0067539A"/>
    <w:rsid w:val="006B1FF9"/>
    <w:rsid w:val="007815A1"/>
    <w:rsid w:val="007B0D37"/>
    <w:rsid w:val="00882C1D"/>
    <w:rsid w:val="008B1422"/>
    <w:rsid w:val="008B69A2"/>
    <w:rsid w:val="00920969"/>
    <w:rsid w:val="009409C3"/>
    <w:rsid w:val="009A77DB"/>
    <w:rsid w:val="00A30A7A"/>
    <w:rsid w:val="00A56754"/>
    <w:rsid w:val="00A80ABC"/>
    <w:rsid w:val="00A9375D"/>
    <w:rsid w:val="00B12CEC"/>
    <w:rsid w:val="00B50A44"/>
    <w:rsid w:val="00BB4282"/>
    <w:rsid w:val="00BC7D62"/>
    <w:rsid w:val="00BF1AB2"/>
    <w:rsid w:val="00BF69F2"/>
    <w:rsid w:val="00C23EB9"/>
    <w:rsid w:val="00C25E1F"/>
    <w:rsid w:val="00C62001"/>
    <w:rsid w:val="00CE051F"/>
    <w:rsid w:val="00D47A87"/>
    <w:rsid w:val="00E41F8F"/>
    <w:rsid w:val="00E50277"/>
    <w:rsid w:val="00E5703E"/>
    <w:rsid w:val="00EA2440"/>
    <w:rsid w:val="00F5017E"/>
    <w:rsid w:val="00F62B3E"/>
    <w:rsid w:val="00F7046F"/>
    <w:rsid w:val="00FF22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1"/>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rsid w:val="001C188F"/>
    <w:rPr>
      <w:rFonts w:ascii="Times New Roman" w:eastAsia="Times New Roman" w:hAnsi="Times New Roman" w:cs="Times New Roman"/>
      <w:kern w:val="0"/>
      <w:sz w:val="24"/>
      <w:szCs w:val="24"/>
    </w:rPr>
  </w:style>
  <w:style w:type="paragraph" w:customStyle="1" w:styleId="p1">
    <w:name w:val="p1"/>
    <w:basedOn w:val="Normal"/>
    <w:rsid w:val="00E50277"/>
    <w:pPr>
      <w:spacing w:after="0" w:line="240" w:lineRule="auto"/>
    </w:pPr>
    <w:rPr>
      <w:rFonts w:ascii="Times New Roman" w:eastAsia="Times New Roman" w:hAnsi="Times New Roman" w:cs="Times New Roman"/>
      <w:color w:val="000000"/>
      <w:kern w:val="0"/>
      <w:sz w:val="18"/>
      <w:szCs w:val="18"/>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3</cp:revision>
  <dcterms:created xsi:type="dcterms:W3CDTF">2026-04-02T18:04:00Z</dcterms:created>
  <dcterms:modified xsi:type="dcterms:W3CDTF">2026-04-02T21:30:00Z</dcterms:modified>
</cp:coreProperties>
</file>