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RPr="00121522" w:rsidTr="00121522">
        <w:trPr>
          <w:trHeight w:val="12266"/>
        </w:trPr>
        <w:tc>
          <w:tcPr>
            <w:tcW w:w="9895" w:type="dxa"/>
          </w:tcPr>
          <w:p w:rsidR="001546DA" w:rsidRPr="001546DA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 BÖLÜM</w:t>
            </w:r>
          </w:p>
          <w:p w:rsidR="001546DA" w:rsidRPr="001546DA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Amaç, Kapsam, Dayanak ve Tanımlar</w:t>
            </w:r>
          </w:p>
          <w:p w:rsidR="001546DA" w:rsidRPr="001546DA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Amaç 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1-</w:t>
            </w:r>
            <w:r w:rsidRPr="001546DA">
              <w:rPr>
                <w:rFonts w:ascii="Times New Roman" w:hAnsi="Times New Roman" w:cs="Times New Roman"/>
                <w:sz w:val="24"/>
                <w:szCs w:val="24"/>
              </w:rPr>
              <w:t xml:space="preserve"> Bu usul ve esasların amacı; Söke Sağlık Hizmetleri Meslek Yüksekokulu bünyesinde yürütülen ölçme-değerlendirme ve sınav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 uygulamalarının bütüncül bir sistem anlayışıyla planlanması, izlenmesi, geliştirilmesi; geçerli, güvenilir, şeffaf ve adil ölçme-değerlendirme süreçlerinin yürütülmesini sağlamak üzere Ölçme ve Değerlendirme Komisyonunun çalışma usul ve esaslarını belirlemektir. </w:t>
            </w:r>
          </w:p>
          <w:p w:rsidR="001546DA" w:rsidRPr="00B47FD4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 2-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Bu usul ve esaslar; Söke Sağlık Hizmetleri Meslek Yüksekokulunda Ölçme ve Değerlendirme Komisyonunun oluşumu, çalışma ilkeleri ve görevlerini kapsar.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Dayanak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48F2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Bu usul ve esaslar; 2547 Sayılı Yüksek Öğrenim Kanunu, Üniversite Senatosu ve/veya Üniversite Yönetim Kurulu kararları ile ilgili diğer mevzuat hükümleri, Aydın Adnan Menderes Üniversitesi Önlisans ve Lisans Eğitimi Yönetmeliği ile Söke Sağlık Hizmetleri Meslek Yüksekokulu Yönetim Kurulu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nun 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13.01.2026 tarih ve 2026/01 Ölçme ve Değerlendirme Komisyonunun görevlendirilmesine ilişkin karar/onaya dayanılarak hazırlanmıştır.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(2) Yüksekokul bünyesindeki ilgili birimlerin görev alanına giren konularda, yürürlükte bulunan mevzuat hükümleri esas alınır.</w:t>
            </w:r>
          </w:p>
          <w:p w:rsidR="001546DA" w:rsidRPr="005011D9" w:rsidRDefault="001546DA" w:rsidP="00154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Tanımlar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548F2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E1913">
              <w:rPr>
                <w:rFonts w:ascii="Times New Roman" w:hAnsi="Times New Roman" w:cs="Times New Roman"/>
                <w:sz w:val="24"/>
                <w:szCs w:val="24"/>
              </w:rPr>
              <w:t>) Bu Usul ve Esaslarda geçen;</w:t>
            </w:r>
          </w:p>
          <w:p w:rsidR="001546DA" w:rsidRPr="005011D9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Üniversite:</w:t>
            </w:r>
            <w:r w:rsidRPr="005011D9">
              <w:rPr>
                <w:sz w:val="24"/>
                <w:szCs w:val="24"/>
              </w:rPr>
              <w:t xml:space="preserve"> Aydın Adnan Menderes Üniversitesi’ni,</w:t>
            </w:r>
          </w:p>
          <w:p w:rsidR="001546DA" w:rsidRPr="005011D9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Yüksekokul:</w:t>
            </w:r>
            <w:r w:rsidRPr="005011D9">
              <w:rPr>
                <w:sz w:val="24"/>
                <w:szCs w:val="24"/>
              </w:rPr>
              <w:t xml:space="preserve"> Söke Sağlık Hizmetleri Meslek Yüksekokulu’nu,</w:t>
            </w:r>
          </w:p>
          <w:p w:rsidR="001546DA" w:rsidRPr="005011D9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Müdür:</w:t>
            </w:r>
            <w:r w:rsidRPr="005011D9">
              <w:rPr>
                <w:sz w:val="24"/>
                <w:szCs w:val="24"/>
              </w:rPr>
              <w:t xml:space="preserve"> Söke Sağlık Hizmetleri Meslek Yüksekokulu Müdürü’nü,</w:t>
            </w:r>
          </w:p>
          <w:p w:rsidR="001546DA" w:rsidRPr="005011D9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Komisyon:</w:t>
            </w:r>
            <w:r w:rsidRPr="005011D9">
              <w:rPr>
                <w:sz w:val="24"/>
                <w:szCs w:val="24"/>
              </w:rPr>
              <w:t>Ölçme ve Değerlendirme Komisyonu,</w:t>
            </w:r>
          </w:p>
          <w:p w:rsidR="001546DA" w:rsidRPr="005011D9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Başkan:</w:t>
            </w:r>
            <w:r w:rsidRPr="005011D9">
              <w:rPr>
                <w:sz w:val="24"/>
                <w:szCs w:val="24"/>
              </w:rPr>
              <w:t>Ölçme ve Değerlendirme Komisyonunun Başkanı</w:t>
            </w:r>
          </w:p>
          <w:p w:rsidR="001546DA" w:rsidRPr="005011D9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Raportör:</w:t>
            </w:r>
            <w:r w:rsidRPr="005011D9">
              <w:rPr>
                <w:sz w:val="24"/>
                <w:szCs w:val="24"/>
              </w:rPr>
              <w:t>Ölçme ve Değerlendirme Komisyonunun raportörünü temsil eder</w:t>
            </w:r>
          </w:p>
          <w:p w:rsidR="001546DA" w:rsidRPr="009E1913" w:rsidRDefault="001546DA" w:rsidP="001546DA">
            <w:pPr>
              <w:pStyle w:val="ListeParagraf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5011D9">
              <w:rPr>
                <w:b/>
                <w:bCs/>
                <w:sz w:val="24"/>
                <w:szCs w:val="24"/>
              </w:rPr>
              <w:t>PUKÖ:</w:t>
            </w:r>
            <w:r w:rsidRPr="005011D9">
              <w:rPr>
                <w:sz w:val="24"/>
                <w:szCs w:val="24"/>
              </w:rPr>
              <w:t xml:space="preserve"> Planla, Uygula, Kontrol et ve Önlem Al</w:t>
            </w:r>
          </w:p>
          <w:p w:rsidR="001546DA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46DA" w:rsidRPr="005011D9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 BÖLÜM</w:t>
            </w:r>
          </w:p>
          <w:p w:rsidR="001546DA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Komisyon Oluşumu, Çalışma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Esasları</w:t>
            </w:r>
          </w:p>
          <w:p w:rsidR="001546DA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Komisyonun Oluşturulması</w:t>
            </w:r>
          </w:p>
          <w:p w:rsidR="001546DA" w:rsidRPr="00133817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CC3513">
              <w:rPr>
                <w:rFonts w:ascii="Times New Roman" w:eastAsia="MS Mincho" w:hAnsi="Times New Roman" w:cs="Times New Roman"/>
                <w:b/>
                <w:sz w:val="24"/>
              </w:rPr>
              <w:t>Madde 5</w:t>
            </w:r>
            <w:r>
              <w:rPr>
                <w:rFonts w:ascii="Times New Roman" w:eastAsia="MS Mincho" w:hAnsi="Times New Roman" w:cs="Times New Roman"/>
                <w:sz w:val="24"/>
              </w:rPr>
              <w:t>-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 (1) Komisyon; </w:t>
            </w:r>
            <w:bookmarkStart w:id="0" w:name="_Hlk221622045"/>
            <w:r w:rsidRPr="00F23373">
              <w:rPr>
                <w:rFonts w:ascii="Times New Roman" w:eastAsia="MS Mincho" w:hAnsi="Times New Roman" w:cs="Times New Roman"/>
                <w:sz w:val="24"/>
              </w:rPr>
              <w:t>Yüksekokul Müdürlüğünün önerisi ve Yüksekokul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 Yönetim Kurulu </w:t>
            </w:r>
            <w:r w:rsidRPr="00133817">
              <w:rPr>
                <w:rFonts w:ascii="Times New Roman" w:eastAsia="MS Mincho" w:hAnsi="Times New Roman" w:cs="Times New Roman"/>
                <w:sz w:val="24"/>
              </w:rPr>
              <w:t>kararı ile oluşturulur.</w:t>
            </w:r>
          </w:p>
          <w:bookmarkEnd w:id="0"/>
          <w:p w:rsidR="001546DA" w:rsidRPr="00CC3513" w:rsidRDefault="001546DA" w:rsidP="001546DA">
            <w:pPr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</w:rPr>
            </w:pPr>
            <w:r w:rsidRPr="00133817">
              <w:rPr>
                <w:rFonts w:ascii="Times New Roman" w:eastAsia="MS Mincho" w:hAnsi="Times New Roman" w:cs="Times New Roman"/>
                <w:sz w:val="24"/>
              </w:rPr>
              <w:t xml:space="preserve">(2) </w:t>
            </w:r>
            <w:r w:rsidRPr="0013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Komisyon; Meslek Yüksekokulundaki bölümlerde görevli öğretim elemanları ve üyeleri arasından belirlenen en az üç üye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3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komisyon başkanı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(bir)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 aktif 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(iki) idari personelden </w:t>
            </w:r>
            <w:r w:rsidRPr="0013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oluşur.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CC3513">
              <w:rPr>
                <w:rFonts w:ascii="Times New Roman" w:eastAsia="MS Mincho" w:hAnsi="Times New Roman" w:cs="Times New Roman"/>
                <w:sz w:val="24"/>
              </w:rPr>
              <w:t>(3)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 Komisyon üyelerinin görev süresi 2 (iki) yıldır. Süresi dolan üyeler, </w:t>
            </w:r>
            <w:r w:rsidRPr="00F23373">
              <w:rPr>
                <w:rFonts w:ascii="Times New Roman" w:eastAsia="MS Mincho" w:hAnsi="Times New Roman" w:cs="Times New Roman"/>
                <w:sz w:val="24"/>
              </w:rPr>
              <w:t xml:space="preserve">Yüksekokul Müdürlüğünün önerisi ve Yüksekokul Yönetim Kurulu kararı ile </w:t>
            </w:r>
            <w:r>
              <w:rPr>
                <w:rFonts w:ascii="Times New Roman" w:eastAsia="MS Mincho" w:hAnsi="Times New Roman" w:cs="Times New Roman"/>
                <w:sz w:val="24"/>
              </w:rPr>
              <w:t>yeniden görevlendirilebilir.</w:t>
            </w:r>
          </w:p>
          <w:p w:rsidR="001546DA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(4) Komisyon; ilk toplantısında kendi üyeleri arasından bir başkan yardımcısı ve bir raportör seçebilir.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 xml:space="preserve">(5) </w:t>
            </w:r>
            <w:r w:rsidRPr="003531C8">
              <w:rPr>
                <w:rFonts w:ascii="Times New Roman" w:hAnsi="Times New Roman" w:cs="Times New Roman"/>
                <w:sz w:val="24"/>
                <w:szCs w:val="24"/>
              </w:rPr>
              <w:t>Aktif öğrenci olarak seçilen öğrenci mezun olduktan sonra görev süresi biter ve yerine komisyon tarafından gönüllü olan öğrencilerden üye seçimi yapılır.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 xml:space="preserve">(6) </w:t>
            </w:r>
            <w:r w:rsidRPr="00703DFD">
              <w:rPr>
                <w:rFonts w:ascii="Times New Roman" w:hAnsi="Times New Roman" w:cs="Times New Roman"/>
                <w:sz w:val="24"/>
                <w:szCs w:val="24"/>
              </w:rPr>
              <w:t>Komisyon Başkanı olmadığı zaman başkanın önerdiği üyelerden biri başkana vekalet eder.</w:t>
            </w:r>
          </w:p>
          <w:p w:rsidR="001546DA" w:rsidRPr="009E1913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DA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lastRenderedPageBreak/>
              <w:t>Komisyonun Çalışma Esasları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CC3513">
              <w:rPr>
                <w:rFonts w:ascii="Times New Roman" w:eastAsia="MS Mincho" w:hAnsi="Times New Roman" w:cs="Times New Roman"/>
                <w:b/>
                <w:sz w:val="24"/>
              </w:rPr>
              <w:t>Madde 6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(1) Komisyon yılda en az iki kez olağan olarak toplanır. Gerekli görüldüğünde başkanın çağrısı ile olağanüstü toplantı yapılabilir.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(2) Toplantılar Komisyon Başkanının davetiyle yapılır; toplantı gündemi ve toplantıya ilişkin bilgi/belgeler en az </w:t>
            </w:r>
            <w:r w:rsidRPr="00A72681">
              <w:rPr>
                <w:rFonts w:ascii="Times New Roman" w:eastAsia="MS Mincho" w:hAnsi="Times New Roman" w:cs="Times New Roman"/>
                <w:sz w:val="24"/>
              </w:rPr>
              <w:t>üç gün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 önceden üyelere bildirilir.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(3) </w:t>
            </w:r>
            <w:bookmarkStart w:id="1" w:name="_Hlk221621881"/>
            <w:r w:rsidRPr="00672FBF">
              <w:rPr>
                <w:rFonts w:ascii="Times New Roman" w:eastAsia="MS Mincho" w:hAnsi="Times New Roman" w:cs="Times New Roman"/>
                <w:sz w:val="24"/>
              </w:rPr>
              <w:t>Komisyon üye tam sayısının salt çoğunluğu ile toplanır; kararlar toplantıya katılanların oy çokluğu ile alınır. Oyların eşitliği hâlinde Başkanın oyu yönünde karar alınmış sayılır</w:t>
            </w:r>
            <w:bookmarkEnd w:id="1"/>
            <w:r w:rsidRPr="00672FBF">
              <w:rPr>
                <w:rFonts w:ascii="Times New Roman" w:eastAsia="MS Mincho" w:hAnsi="Times New Roman" w:cs="Times New Roman"/>
                <w:sz w:val="24"/>
              </w:rPr>
              <w:t>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(4) Her toplantı sonrası karar ve faaliyetleri içeren toplantı tutanağı hazırlanır; tutanaklar imzalanarak arşivlenir.</w:t>
            </w:r>
          </w:p>
          <w:p w:rsidR="001546DA" w:rsidRPr="00B47FD4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sz w:val="24"/>
              </w:rPr>
              <w:t>(5) Komisyonun sekretarya/raportörlük ve yazışma-evrak işlemleri, Komisyon Başkanının koordinasyonunda Raportör tarafından yürütülür.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Başkanın Görevleri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7- </w:t>
            </w:r>
            <w:r w:rsidRPr="00E87670">
              <w:rPr>
                <w:rFonts w:ascii="Times New Roman" w:hAnsi="Times New Roman" w:cs="Times New Roman"/>
                <w:sz w:val="24"/>
                <w:szCs w:val="24"/>
              </w:rPr>
              <w:t>Komisyon Başkanı’nın görevleri;</w:t>
            </w:r>
          </w:p>
          <w:p w:rsidR="001546DA" w:rsidRPr="003531C8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(1) Komisyonun yıllık çalışma planını hazırlamak/gündeme almak, toplantıları çağırmak ve yönetmek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br/>
              <w:t>(2) Toplantı takvimini belirlemek ve komisyon üyelerini toplantıya davet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(3) Komisyonun görev alanına giren süreçlerin etkin işlemesini sağlamak; komisyon çalışma usul ve esaslarının belirlenmesini sağlamak, görev dağılımını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(4) Komisyon kararlarının uygulanmasını takip etmek; gerekli yazışmaları başlatmak/koordine etmek, alınan kararların yazımını, kayıt altına alınmasını ve arşivlenmesini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(5)Komisyonu Yüksekokul Yönetim Kurulu ve ilgili birimler nezdinde temsil etmek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br/>
              <w:t>(6) Yıllık faaliyet planı ve faaliyet raporlarının hazırlanmasını koordine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(7) Komisyonun toplantı tutanaklarını dosyalayıp arşivlenmesini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(8) Akademik takvim doğrultusunda sınav tarihlerinden 15(onbeş) gün önce sınav programını yapmak, öğrencilere ve akademik personele duyurmak.</w:t>
            </w:r>
          </w:p>
          <w:p w:rsidR="001546DA" w:rsidRPr="005011D9" w:rsidRDefault="001546DA" w:rsidP="00154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Komisyonun Görevleri</w:t>
            </w:r>
          </w:p>
          <w:p w:rsidR="001546DA" w:rsidRPr="005011D9" w:rsidRDefault="001546DA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8- 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Komisyonun görevleri şunlardır: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(1) Programda kullanılan ölçme-değerlendirme yöntem ve araçlarını belirlemek ve güncellemek; ders öğrenme çıktıları ile program çıktılarıyla uyumunu gözetmek.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(2) Sınav ve değerlendirme süreçlerinin planlanmasına katkı sağlamak; birim genelinde uygulama birliğini ve eşgüdümü desteklemek; eğitim-öğretim dönemi başında“Ölçme-Değerlendirme Planı”nı hazırlamak/güncellemek.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(3) Sınav soruları ve diğer ölçme araçlarının niteliğine yönelik izleme faaliyetlerini yürütmek; gerekli durumlarda analiz çalışmalarını koordine etmek; bulgulara dayalı iyileştirme önerileri geliştirmek.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(4) Ölçme-değerlendirme uygulamalarının geçerlik ve güvenirliğini artırmaya yönelik öneriler geliştirmek; öğretim elemanlarına yönelik bilgilendirme ve/veya eğitim faaliyetlerini planlamak.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(5) Ölçme-değerlendirme süreçlerinden elde edilen verileri toplamak, analiz etmek, raporlamak ve ilgili kurul/birimlerle paylaşmak.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(6) Ölçme-değerlendirme sistemi ve süreçlerine ilişkin kural, yönerge ve form/şablon ihtiyaçlarını belirlemek; güncelleme önerilerini Müdürlüğ</w:t>
            </w: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 sunmak, Soru kağıdı formatı, Soru Analiz Formu ve sınav evrakları arşiv formunu hazırlamak ve gereğinde güncellemek.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(7) Gerekli hâllerde yüksekokul yönetimi, bölüm başkanlıkları, öğretim elemanları ve öğrenciler başta olmak üzere iç ve dış paydaşların (öğrenciler, mezunlar, ilgili kurum ve kuruluşlar) görüş ve önerilerini almak; bu geri bildirimler doğrultusunda PUKÖ çerçevesinde iyileştirme sürecini başlatmak, planlamak ve izlemek; sonuçlarını Müdürlüğe sunmak.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(8) Ders sorumluları tarafından hazırlanan sınav soru analizi sonuçlarını teslim almak, analiz sonuçları doğrultusunda öğretim elemanlarını bilgilendirmek ve soruların/ölçme araçlarının iyileştirilmesine yönelik öneriler geliştirmek.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(9) Ölçme-değerlendirme uygulamalarına ilişkin öğrenci ve eğitici geri bildirimlerini almak, 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değerlendirmek ve sonuçlarını iyileştirme çalışmalarına yansıtmak.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(10) Programın eğitim amaçları ve program çıktılarına ulaşmayı destekleyen ölçme-değerlendirme sisteminin etkinliğini PUKÖ döngüsü çerçevesinde planlamak, uygulamak, izlemek ve iyileştirmek.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(11) Komisyon çalışmalarını; izlenebilirlik, kanıta dayalı değerlendirme, geçerlik-güvenirlik, şeffaflık ve adalet, öğrenci iş yükü ve öğrenme kazanımlarıyla uyum ilkeleri doğrultusunda yürütmek.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(12) Performans görevi, proje/sunum, klinik/uygulama ve staj değerlendirmeleri gibi alanlarda rubrik ve ölçüt setlerinin kullanımını teşvik etmek; gerekli şablonları hazırlamak ve güncellemek. 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(13) Komisyon gündemi ve alınan kararları yüksekokul öğretim elemanları ile paylaşmak.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(14) Komisyon toplantısı sonrası toplantı tutanağını en geç 5 (beş) iş günü içinde Müdürlüğe sunmak.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(15) Sınavlar ve ölçme değerlendirme yöntemlerine ilişkin öğrenci ve öğretim elamanlarının memnuniyetlerini değerlendirmek, görüş ve önerilerini almak, yapılacak iyileştirmeleri belirleyip ve yönetime öneride bulunmak.  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(16) Eğitim-öğretim dönemi sonunda Ölçme ve Değerlendirme Komisyonu Faaliyet Raporu hazırlayarak Müdürlüğe sunmak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Raportör/Sekreterya Görevleri:</w:t>
            </w:r>
          </w:p>
          <w:p w:rsidR="001546DA" w:rsidRPr="005011D9" w:rsidRDefault="001546DA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Madde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 xml:space="preserve"> -Komisyon üyeleri ve başkan tarafından belirlenen raportör/sekreteryanın görevleri;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(1) Komisyon toplantı tutanaklarını tutmak, yazışmaların yapılması ve Komisyon Karar Dosyasında arşivlenmesini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(2) Toplantı günlerinin, diğer komisyonların çalışmalarını aksatmayacak şekilde tespiti ve komisyon üyelerine bildirilmesi, gündem, bilgi ve belgelerin komisyon üyelerine iletilmesini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sz w:val="24"/>
                <w:szCs w:val="24"/>
              </w:rPr>
              <w:t>(3) Gerekli görülmesi halinde komisyon adına yazılacak yazıların hazırlanmasını sağlamak, konu ile ilgili bilgi ve belgeleri sağlamaktır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DA" w:rsidRPr="005011D9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ÜÇÜNCÜ BÖLÜM</w:t>
            </w:r>
          </w:p>
          <w:p w:rsidR="001546DA" w:rsidRPr="008C11E6" w:rsidRDefault="001546DA" w:rsidP="00154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Çeşitli ve Son Hükümler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Hüküm Bulunmayan Hâller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0A49D0">
              <w:rPr>
                <w:rFonts w:ascii="Times New Roman" w:eastAsia="MS Mincho" w:hAnsi="Times New Roman" w:cs="Times New Roman"/>
                <w:b/>
                <w:sz w:val="24"/>
              </w:rPr>
              <w:t xml:space="preserve">Madde 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10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(1) Bu usul ve esaslarda hüküm bulunmayan hâllerde ilgili mevzuat hükümleri uygulanır.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Yürürlük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0A49D0">
              <w:rPr>
                <w:rFonts w:ascii="Times New Roman" w:eastAsia="MS Mincho" w:hAnsi="Times New Roman" w:cs="Times New Roman"/>
                <w:b/>
                <w:sz w:val="24"/>
              </w:rPr>
              <w:t xml:space="preserve">Madde 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11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(1) Bu usul ve esaslar, Söke Sağlık Hizmetleri Meslek Yüksekokulu Yönetim Kurulunun onayı ile yürürlüğe girer.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Yürütme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0A49D0">
              <w:rPr>
                <w:rFonts w:ascii="Times New Roman" w:eastAsia="MS Mincho" w:hAnsi="Times New Roman" w:cs="Times New Roman"/>
                <w:b/>
                <w:sz w:val="24"/>
              </w:rPr>
              <w:t>Madde 1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2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- (1) Bu usul ve esasların hükümlerini Söke Sağlık Hizmetleri Meslek Yüksekokulu Müdürlüğü yürütür.</w:t>
            </w:r>
          </w:p>
          <w:p w:rsidR="001546DA" w:rsidRPr="00672FBF" w:rsidRDefault="001546DA" w:rsidP="001546DA">
            <w:pPr>
              <w:jc w:val="both"/>
              <w:rPr>
                <w:rFonts w:ascii="Times New Roman" w:eastAsia="MS Mincho" w:hAnsi="Times New Roman" w:cs="Times New Roman"/>
                <w:sz w:val="24"/>
              </w:rPr>
            </w:pPr>
            <w:r w:rsidRPr="00672FBF">
              <w:rPr>
                <w:rFonts w:ascii="Times New Roman" w:eastAsia="MS Mincho" w:hAnsi="Times New Roman" w:cs="Times New Roman"/>
                <w:b/>
                <w:sz w:val="24"/>
              </w:rPr>
              <w:t>Değişiklik</w:t>
            </w:r>
          </w:p>
          <w:p w:rsidR="001546DA" w:rsidRPr="005011D9" w:rsidRDefault="001546DA" w:rsidP="001546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9D0">
              <w:rPr>
                <w:rFonts w:ascii="Times New Roman" w:eastAsia="MS Mincho" w:hAnsi="Times New Roman" w:cs="Times New Roman"/>
                <w:b/>
                <w:sz w:val="24"/>
              </w:rPr>
              <w:t>Madde 1</w:t>
            </w:r>
            <w:r>
              <w:rPr>
                <w:rFonts w:ascii="Times New Roman" w:eastAsia="MS Mincho" w:hAnsi="Times New Roman" w:cs="Times New Roman"/>
                <w:b/>
                <w:sz w:val="24"/>
              </w:rPr>
              <w:t>3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- (1) Bu usul ve esaslarda yapılması önerilen değişiklikler, 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Ölçme Değerlendirme  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 xml:space="preserve"> Komisyonu kararıyla Yüksekokul Müdürlüğüne sunulur. </w:t>
            </w:r>
            <w:r>
              <w:rPr>
                <w:rFonts w:ascii="Times New Roman" w:eastAsia="MS Mincho" w:hAnsi="Times New Roman" w:cs="Times New Roman"/>
                <w:sz w:val="24"/>
              </w:rPr>
              <w:t xml:space="preserve">Yüksekokul </w:t>
            </w:r>
            <w:r w:rsidRPr="00672FBF">
              <w:rPr>
                <w:rFonts w:ascii="Times New Roman" w:eastAsia="MS Mincho" w:hAnsi="Times New Roman" w:cs="Times New Roman"/>
                <w:sz w:val="24"/>
              </w:rPr>
              <w:t>Yönetim K</w:t>
            </w:r>
            <w:r>
              <w:rPr>
                <w:rFonts w:ascii="Times New Roman" w:eastAsia="MS Mincho" w:hAnsi="Times New Roman" w:cs="Times New Roman"/>
                <w:sz w:val="24"/>
              </w:rPr>
              <w:t>urulu onayı ile yürürlüğe girer.</w:t>
            </w:r>
          </w:p>
          <w:p w:rsidR="007815A1" w:rsidRPr="00121522" w:rsidRDefault="007815A1" w:rsidP="001546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0D37" w:rsidRPr="00121522" w:rsidRDefault="007B0D37" w:rsidP="001546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0D37" w:rsidRPr="00121522" w:rsidSect="001546DA">
      <w:headerReference w:type="first" r:id="rId7"/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85" w:rsidRDefault="00E06185" w:rsidP="001D3C65">
      <w:pPr>
        <w:spacing w:after="0" w:line="240" w:lineRule="auto"/>
      </w:pPr>
      <w:r>
        <w:separator/>
      </w:r>
    </w:p>
  </w:endnote>
  <w:endnote w:type="continuationSeparator" w:id="1">
    <w:p w:rsidR="00E06185" w:rsidRDefault="00E06185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85" w:rsidRDefault="00E06185" w:rsidP="001D3C65">
      <w:pPr>
        <w:spacing w:after="0" w:line="240" w:lineRule="auto"/>
      </w:pPr>
      <w:r>
        <w:separator/>
      </w:r>
    </w:p>
  </w:footnote>
  <w:footnote w:type="continuationSeparator" w:id="1">
    <w:p w:rsidR="00E06185" w:rsidRDefault="00E06185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SSH-USE-00019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03.04.2026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160552" w:rsidRDefault="001546DA" w:rsidP="001546DA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ÖLÇME VE DEĞERLENDİRME </w:t>
          </w:r>
          <w:r w:rsidR="00121522">
            <w:rPr>
              <w:rFonts w:ascii="Times New Roman" w:hAnsi="Times New Roman" w:cs="Times New Roman"/>
              <w:b/>
              <w:bCs/>
              <w:sz w:val="24"/>
              <w:szCs w:val="24"/>
            </w:rPr>
            <w:t>KOMİSYONU</w:t>
          </w:r>
          <w:r w:rsidR="004E3CF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A56754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>USUL VE ESASLARI</w:t>
          </w:r>
          <w:r w:rsidR="008B69A2" w:rsidRPr="0016055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923803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5DDA"/>
    <w:multiLevelType w:val="hybridMultilevel"/>
    <w:tmpl w:val="A23EC28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6CE4885"/>
    <w:multiLevelType w:val="hybridMultilevel"/>
    <w:tmpl w:val="3180775C"/>
    <w:lvl w:ilvl="0" w:tplc="5E3824C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025CF"/>
    <w:multiLevelType w:val="hybridMultilevel"/>
    <w:tmpl w:val="42423C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E492FE0"/>
    <w:multiLevelType w:val="hybridMultilevel"/>
    <w:tmpl w:val="9224DBE0"/>
    <w:lvl w:ilvl="0" w:tplc="DFBCE8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42782A"/>
    <w:multiLevelType w:val="hybridMultilevel"/>
    <w:tmpl w:val="4844AC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6528BF"/>
    <w:multiLevelType w:val="hybridMultilevel"/>
    <w:tmpl w:val="D17AC8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6596B"/>
    <w:multiLevelType w:val="hybridMultilevel"/>
    <w:tmpl w:val="3F8EB0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7650FB"/>
    <w:multiLevelType w:val="hybridMultilevel"/>
    <w:tmpl w:val="CED098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4367D"/>
    <w:multiLevelType w:val="hybridMultilevel"/>
    <w:tmpl w:val="1D50F0E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5F6D8F"/>
    <w:multiLevelType w:val="hybridMultilevel"/>
    <w:tmpl w:val="A06CF988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E60851"/>
    <w:multiLevelType w:val="hybridMultilevel"/>
    <w:tmpl w:val="71C899D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E77FA4"/>
    <w:multiLevelType w:val="hybridMultilevel"/>
    <w:tmpl w:val="1E0E5FC8"/>
    <w:lvl w:ilvl="0" w:tplc="3B1A9CF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71AD8"/>
    <w:multiLevelType w:val="hybridMultilevel"/>
    <w:tmpl w:val="18445AA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6A7813"/>
    <w:multiLevelType w:val="hybridMultilevel"/>
    <w:tmpl w:val="A19EC81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BC50D1"/>
    <w:multiLevelType w:val="hybridMultilevel"/>
    <w:tmpl w:val="331C25F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5C72C2"/>
    <w:multiLevelType w:val="hybridMultilevel"/>
    <w:tmpl w:val="784C96A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051A3B"/>
    <w:multiLevelType w:val="hybridMultilevel"/>
    <w:tmpl w:val="E5E66340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B4F7EA5"/>
    <w:multiLevelType w:val="hybridMultilevel"/>
    <w:tmpl w:val="AB58B94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2F15CB"/>
    <w:multiLevelType w:val="hybridMultilevel"/>
    <w:tmpl w:val="8340976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0721A1"/>
    <w:multiLevelType w:val="hybridMultilevel"/>
    <w:tmpl w:val="4EBAC9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1130B6"/>
    <w:multiLevelType w:val="hybridMultilevel"/>
    <w:tmpl w:val="BF8E5C9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697660"/>
    <w:multiLevelType w:val="hybridMultilevel"/>
    <w:tmpl w:val="0E0A0A5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36B12"/>
    <w:multiLevelType w:val="hybridMultilevel"/>
    <w:tmpl w:val="C818E6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B6DB7"/>
    <w:multiLevelType w:val="hybridMultilevel"/>
    <w:tmpl w:val="9122578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E5078B"/>
    <w:multiLevelType w:val="hybridMultilevel"/>
    <w:tmpl w:val="27B25E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7D2962"/>
    <w:multiLevelType w:val="hybridMultilevel"/>
    <w:tmpl w:val="AECC539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F91A32"/>
    <w:multiLevelType w:val="hybridMultilevel"/>
    <w:tmpl w:val="6EB811C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0B7578"/>
    <w:multiLevelType w:val="multilevel"/>
    <w:tmpl w:val="E7C653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8537A"/>
    <w:multiLevelType w:val="hybridMultilevel"/>
    <w:tmpl w:val="6CA45BB4"/>
    <w:lvl w:ilvl="0" w:tplc="B2F28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A1B31"/>
    <w:multiLevelType w:val="hybridMultilevel"/>
    <w:tmpl w:val="DA187358"/>
    <w:lvl w:ilvl="0" w:tplc="041F0017">
      <w:start w:val="1"/>
      <w:numFmt w:val="lowerLetter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DFB0679"/>
    <w:multiLevelType w:val="hybridMultilevel"/>
    <w:tmpl w:val="FE8832C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026738"/>
    <w:multiLevelType w:val="hybridMultilevel"/>
    <w:tmpl w:val="2DD0CA5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4F2BF5"/>
    <w:multiLevelType w:val="hybridMultilevel"/>
    <w:tmpl w:val="22A0CC72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5"/>
  </w:num>
  <w:num w:numId="3">
    <w:abstractNumId w:val="34"/>
  </w:num>
  <w:num w:numId="4">
    <w:abstractNumId w:val="31"/>
  </w:num>
  <w:num w:numId="5">
    <w:abstractNumId w:val="23"/>
  </w:num>
  <w:num w:numId="6">
    <w:abstractNumId w:val="17"/>
  </w:num>
  <w:num w:numId="7">
    <w:abstractNumId w:val="12"/>
  </w:num>
  <w:num w:numId="8">
    <w:abstractNumId w:val="28"/>
  </w:num>
  <w:num w:numId="9">
    <w:abstractNumId w:val="39"/>
  </w:num>
  <w:num w:numId="10">
    <w:abstractNumId w:val="20"/>
  </w:num>
  <w:num w:numId="11">
    <w:abstractNumId w:val="26"/>
  </w:num>
  <w:num w:numId="12">
    <w:abstractNumId w:val="24"/>
  </w:num>
  <w:num w:numId="13">
    <w:abstractNumId w:val="30"/>
  </w:num>
  <w:num w:numId="14">
    <w:abstractNumId w:val="19"/>
  </w:num>
  <w:num w:numId="15">
    <w:abstractNumId w:val="29"/>
  </w:num>
  <w:num w:numId="16">
    <w:abstractNumId w:val="41"/>
  </w:num>
  <w:num w:numId="17">
    <w:abstractNumId w:val="32"/>
  </w:num>
  <w:num w:numId="18">
    <w:abstractNumId w:val="25"/>
  </w:num>
  <w:num w:numId="19">
    <w:abstractNumId w:val="27"/>
  </w:num>
  <w:num w:numId="20">
    <w:abstractNumId w:val="3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8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15"/>
  </w:num>
  <w:num w:numId="31">
    <w:abstractNumId w:val="14"/>
  </w:num>
  <w:num w:numId="32">
    <w:abstractNumId w:val="33"/>
  </w:num>
  <w:num w:numId="33">
    <w:abstractNumId w:val="38"/>
  </w:num>
  <w:num w:numId="34">
    <w:abstractNumId w:val="22"/>
  </w:num>
  <w:num w:numId="35">
    <w:abstractNumId w:val="11"/>
  </w:num>
  <w:num w:numId="36">
    <w:abstractNumId w:val="42"/>
  </w:num>
  <w:num w:numId="37">
    <w:abstractNumId w:val="21"/>
  </w:num>
  <w:num w:numId="38">
    <w:abstractNumId w:val="40"/>
  </w:num>
  <w:num w:numId="39">
    <w:abstractNumId w:val="10"/>
  </w:num>
  <w:num w:numId="40">
    <w:abstractNumId w:val="16"/>
  </w:num>
  <w:num w:numId="41">
    <w:abstractNumId w:val="37"/>
  </w:num>
  <w:num w:numId="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077E8"/>
    <w:rsid w:val="00121522"/>
    <w:rsid w:val="001546DA"/>
    <w:rsid w:val="00160552"/>
    <w:rsid w:val="00174ECD"/>
    <w:rsid w:val="00184F8E"/>
    <w:rsid w:val="001C188F"/>
    <w:rsid w:val="001D3C65"/>
    <w:rsid w:val="001E049B"/>
    <w:rsid w:val="00247C2D"/>
    <w:rsid w:val="002C4DC4"/>
    <w:rsid w:val="00317766"/>
    <w:rsid w:val="0034361F"/>
    <w:rsid w:val="00367719"/>
    <w:rsid w:val="003B3BB1"/>
    <w:rsid w:val="003B60E7"/>
    <w:rsid w:val="004326BB"/>
    <w:rsid w:val="004655A7"/>
    <w:rsid w:val="004B609F"/>
    <w:rsid w:val="004E3CFC"/>
    <w:rsid w:val="0053534C"/>
    <w:rsid w:val="0059286A"/>
    <w:rsid w:val="005D6D26"/>
    <w:rsid w:val="00614538"/>
    <w:rsid w:val="00621D85"/>
    <w:rsid w:val="0063356C"/>
    <w:rsid w:val="0067539A"/>
    <w:rsid w:val="006B1FF9"/>
    <w:rsid w:val="00725F5D"/>
    <w:rsid w:val="0076533A"/>
    <w:rsid w:val="007815A1"/>
    <w:rsid w:val="0079152D"/>
    <w:rsid w:val="007B0D37"/>
    <w:rsid w:val="007D6E7A"/>
    <w:rsid w:val="00882C1D"/>
    <w:rsid w:val="00885084"/>
    <w:rsid w:val="00886060"/>
    <w:rsid w:val="008B1422"/>
    <w:rsid w:val="008B69A2"/>
    <w:rsid w:val="00920969"/>
    <w:rsid w:val="009409C3"/>
    <w:rsid w:val="009A2DA6"/>
    <w:rsid w:val="009A77DB"/>
    <w:rsid w:val="00A30A7A"/>
    <w:rsid w:val="00A56754"/>
    <w:rsid w:val="00A80ABC"/>
    <w:rsid w:val="00A9375D"/>
    <w:rsid w:val="00B12CEC"/>
    <w:rsid w:val="00B50A44"/>
    <w:rsid w:val="00BB4282"/>
    <w:rsid w:val="00BC7D62"/>
    <w:rsid w:val="00BF1AB2"/>
    <w:rsid w:val="00BF69F2"/>
    <w:rsid w:val="00C23EB9"/>
    <w:rsid w:val="00C25E1F"/>
    <w:rsid w:val="00C62001"/>
    <w:rsid w:val="00CC02A8"/>
    <w:rsid w:val="00CE051F"/>
    <w:rsid w:val="00D47A87"/>
    <w:rsid w:val="00D62C3C"/>
    <w:rsid w:val="00E06185"/>
    <w:rsid w:val="00EA2440"/>
    <w:rsid w:val="00F00616"/>
    <w:rsid w:val="00F45E50"/>
    <w:rsid w:val="00F5017E"/>
    <w:rsid w:val="00F53C00"/>
    <w:rsid w:val="00F62B3E"/>
    <w:rsid w:val="00F7046F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paragraph" w:styleId="Balk1">
    <w:name w:val="heading 1"/>
    <w:basedOn w:val="Normal"/>
    <w:next w:val="Normal"/>
    <w:link w:val="Balk1Char"/>
    <w:uiPriority w:val="9"/>
    <w:qFormat/>
    <w:rsid w:val="001C18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CF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21D8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CF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9375D"/>
    <w:pPr>
      <w:ind w:left="720"/>
      <w:contextualSpacing/>
    </w:pPr>
    <w:rPr>
      <w:rFonts w:ascii="Times New Roman" w:hAnsi="Times New Roman" w:cs="Times New Roman"/>
    </w:rPr>
  </w:style>
  <w:style w:type="paragraph" w:customStyle="1" w:styleId="Default">
    <w:name w:val="Default"/>
    <w:rsid w:val="00A937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21D85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2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1D8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1C1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99"/>
    <w:qFormat/>
    <w:rsid w:val="001C188F"/>
    <w:pPr>
      <w:widowControl w:val="0"/>
      <w:autoSpaceDE w:val="0"/>
      <w:autoSpaceDN w:val="0"/>
      <w:spacing w:after="0" w:line="240" w:lineRule="auto"/>
      <w:ind w:left="141" w:firstLine="707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C188F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1">
    <w:name w:val="p1"/>
    <w:basedOn w:val="Normal"/>
    <w:rsid w:val="00F45E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tr-TR"/>
    </w:rPr>
  </w:style>
  <w:style w:type="character" w:customStyle="1" w:styleId="apple-converted-space">
    <w:name w:val="apple-converted-space"/>
    <w:basedOn w:val="VarsaylanParagrafYazTipi"/>
    <w:rsid w:val="00F45E50"/>
  </w:style>
  <w:style w:type="character" w:customStyle="1" w:styleId="Balk2Char">
    <w:name w:val="Başlık 2 Char"/>
    <w:basedOn w:val="VarsaylanParagrafYazTipi"/>
    <w:link w:val="Balk2"/>
    <w:uiPriority w:val="9"/>
    <w:rsid w:val="004E3CF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CF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CFC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CF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CF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CFC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CFC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</w:rPr>
  </w:style>
  <w:style w:type="paragraph" w:styleId="AralkYok">
    <w:name w:val="No Spacing"/>
    <w:uiPriority w:val="1"/>
    <w:qFormat/>
    <w:rsid w:val="004E3CFC"/>
    <w:pPr>
      <w:spacing w:after="0" w:line="240" w:lineRule="auto"/>
    </w:pPr>
    <w:rPr>
      <w:rFonts w:eastAsiaTheme="minorEastAsia"/>
      <w:kern w:val="0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E3CF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E3CF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E3CFC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4E3CFC"/>
    <w:pPr>
      <w:spacing w:after="120" w:line="480" w:lineRule="auto"/>
    </w:pPr>
    <w:rPr>
      <w:rFonts w:ascii="Times New Roman" w:eastAsiaTheme="minorEastAsia" w:hAnsi="Times New Roman"/>
      <w:kern w:val="0"/>
      <w:sz w:val="24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E3CFC"/>
    <w:rPr>
      <w:rFonts w:ascii="Times New Roman" w:eastAsiaTheme="minorEastAsia" w:hAnsi="Times New Roman"/>
      <w:kern w:val="0"/>
      <w:sz w:val="24"/>
      <w:lang w:val="en-US"/>
    </w:rPr>
  </w:style>
  <w:style w:type="paragraph" w:styleId="GvdeMetni3">
    <w:name w:val="Body Text 3"/>
    <w:basedOn w:val="Normal"/>
    <w:link w:val="GvdeMetni3Char"/>
    <w:uiPriority w:val="99"/>
    <w:unhideWhenUsed/>
    <w:rsid w:val="004E3CFC"/>
    <w:pPr>
      <w:spacing w:after="120" w:line="276" w:lineRule="auto"/>
    </w:pPr>
    <w:rPr>
      <w:rFonts w:ascii="Times New Roman" w:eastAsiaTheme="minorEastAsia" w:hAnsi="Times New Roman"/>
      <w:kern w:val="0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E3CFC"/>
    <w:rPr>
      <w:rFonts w:ascii="Times New Roman" w:eastAsiaTheme="minorEastAsia" w:hAnsi="Times New Roman"/>
      <w:kern w:val="0"/>
      <w:sz w:val="16"/>
      <w:szCs w:val="16"/>
      <w:lang w:val="en-US"/>
    </w:rPr>
  </w:style>
  <w:style w:type="paragraph" w:styleId="Liste">
    <w:name w:val="List"/>
    <w:basedOn w:val="Normal"/>
    <w:uiPriority w:val="99"/>
    <w:unhideWhenUsed/>
    <w:rsid w:val="004E3CFC"/>
    <w:pPr>
      <w:spacing w:after="200" w:line="276" w:lineRule="auto"/>
      <w:ind w:left="36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2">
    <w:name w:val="List 2"/>
    <w:basedOn w:val="Normal"/>
    <w:uiPriority w:val="99"/>
    <w:unhideWhenUsed/>
    <w:rsid w:val="004E3CFC"/>
    <w:pPr>
      <w:spacing w:after="200" w:line="276" w:lineRule="auto"/>
      <w:ind w:left="72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3">
    <w:name w:val="List 3"/>
    <w:basedOn w:val="Normal"/>
    <w:uiPriority w:val="99"/>
    <w:unhideWhenUsed/>
    <w:rsid w:val="004E3CFC"/>
    <w:pPr>
      <w:spacing w:after="200" w:line="276" w:lineRule="auto"/>
      <w:ind w:left="1080" w:hanging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">
    <w:name w:val="List Bullet"/>
    <w:basedOn w:val="Normal"/>
    <w:uiPriority w:val="99"/>
    <w:unhideWhenUsed/>
    <w:rsid w:val="004E3CFC"/>
    <w:pPr>
      <w:numPr>
        <w:numId w:val="21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2">
    <w:name w:val="List Bullet 2"/>
    <w:basedOn w:val="Normal"/>
    <w:uiPriority w:val="99"/>
    <w:unhideWhenUsed/>
    <w:rsid w:val="004E3CFC"/>
    <w:pPr>
      <w:numPr>
        <w:numId w:val="22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Maddemi3">
    <w:name w:val="List Bullet 3"/>
    <w:basedOn w:val="Normal"/>
    <w:uiPriority w:val="99"/>
    <w:unhideWhenUsed/>
    <w:rsid w:val="004E3CFC"/>
    <w:pPr>
      <w:numPr>
        <w:numId w:val="23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">
    <w:name w:val="List Number"/>
    <w:basedOn w:val="Normal"/>
    <w:uiPriority w:val="99"/>
    <w:unhideWhenUsed/>
    <w:rsid w:val="004E3CFC"/>
    <w:pPr>
      <w:numPr>
        <w:numId w:val="25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2">
    <w:name w:val="List Number 2"/>
    <w:basedOn w:val="Normal"/>
    <w:uiPriority w:val="99"/>
    <w:unhideWhenUsed/>
    <w:rsid w:val="004E3CFC"/>
    <w:pPr>
      <w:numPr>
        <w:numId w:val="26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Numaras3">
    <w:name w:val="List Number 3"/>
    <w:basedOn w:val="Normal"/>
    <w:uiPriority w:val="99"/>
    <w:unhideWhenUsed/>
    <w:rsid w:val="004E3CFC"/>
    <w:pPr>
      <w:numPr>
        <w:numId w:val="27"/>
      </w:numPr>
      <w:spacing w:after="200" w:line="276" w:lineRule="auto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">
    <w:name w:val="List Continue"/>
    <w:basedOn w:val="Normal"/>
    <w:uiPriority w:val="99"/>
    <w:unhideWhenUsed/>
    <w:rsid w:val="004E3CFC"/>
    <w:pPr>
      <w:spacing w:after="120" w:line="276" w:lineRule="auto"/>
      <w:ind w:left="36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2">
    <w:name w:val="List Continue 2"/>
    <w:basedOn w:val="Normal"/>
    <w:uiPriority w:val="99"/>
    <w:unhideWhenUsed/>
    <w:rsid w:val="004E3CFC"/>
    <w:pPr>
      <w:spacing w:after="120" w:line="276" w:lineRule="auto"/>
      <w:ind w:left="72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ListeDevam3">
    <w:name w:val="List Continue 3"/>
    <w:basedOn w:val="Normal"/>
    <w:uiPriority w:val="99"/>
    <w:unhideWhenUsed/>
    <w:rsid w:val="004E3CFC"/>
    <w:pPr>
      <w:spacing w:after="120" w:line="276" w:lineRule="auto"/>
      <w:ind w:left="1080"/>
      <w:contextualSpacing/>
    </w:pPr>
    <w:rPr>
      <w:rFonts w:ascii="Times New Roman" w:eastAsiaTheme="minorEastAsia" w:hAnsi="Times New Roman"/>
      <w:kern w:val="0"/>
      <w:sz w:val="24"/>
      <w:lang w:val="en-US"/>
    </w:rPr>
  </w:style>
  <w:style w:type="paragraph" w:styleId="MakroMetni">
    <w:name w:val="macro"/>
    <w:link w:val="MakroMetniChar"/>
    <w:uiPriority w:val="99"/>
    <w:unhideWhenUsed/>
    <w:rsid w:val="004E3CF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4E3CFC"/>
    <w:rPr>
      <w:rFonts w:ascii="Courier" w:eastAsiaTheme="minorEastAsia" w:hAnsi="Courier"/>
      <w:kern w:val="0"/>
      <w:sz w:val="20"/>
      <w:szCs w:val="20"/>
      <w:lang w:val="en-US"/>
    </w:rPr>
  </w:style>
  <w:style w:type="paragraph" w:styleId="Trnak">
    <w:name w:val="Quote"/>
    <w:basedOn w:val="Normal"/>
    <w:next w:val="Normal"/>
    <w:link w:val="TrnakChar"/>
    <w:uiPriority w:val="29"/>
    <w:qFormat/>
    <w:rsid w:val="004E3CFC"/>
    <w:pPr>
      <w:spacing w:after="200" w:line="276" w:lineRule="auto"/>
    </w:pPr>
    <w:rPr>
      <w:rFonts w:ascii="Times New Roman" w:eastAsiaTheme="minorEastAsia" w:hAnsi="Times New Roman"/>
      <w:i/>
      <w:iCs/>
      <w:color w:val="000000" w:themeColor="text1"/>
      <w:kern w:val="0"/>
      <w:sz w:val="24"/>
      <w:lang w:val="en-US"/>
    </w:rPr>
  </w:style>
  <w:style w:type="character" w:customStyle="1" w:styleId="TrnakChar">
    <w:name w:val="Tırnak Char"/>
    <w:basedOn w:val="VarsaylanParagrafYazTipi"/>
    <w:link w:val="Trnak"/>
    <w:uiPriority w:val="29"/>
    <w:rsid w:val="004E3CFC"/>
    <w:rPr>
      <w:rFonts w:ascii="Times New Roman" w:eastAsiaTheme="minorEastAsia" w:hAnsi="Times New Roman"/>
      <w:i/>
      <w:iCs/>
      <w:color w:val="000000" w:themeColor="text1"/>
      <w:kern w:val="0"/>
      <w:sz w:val="24"/>
      <w:lang w:val="en-US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CFC"/>
    <w:pPr>
      <w:spacing w:after="200" w:line="240" w:lineRule="auto"/>
    </w:pPr>
    <w:rPr>
      <w:rFonts w:ascii="Times New Roman" w:eastAsiaTheme="minorEastAsia" w:hAnsi="Times New Roman"/>
      <w:b/>
      <w:bCs/>
      <w:color w:val="4472C4" w:themeColor="accent1"/>
      <w:kern w:val="0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4E3CFC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E3CF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Times New Roman" w:eastAsiaTheme="minorEastAsia" w:hAnsi="Times New Roman"/>
      <w:b/>
      <w:bCs/>
      <w:i/>
      <w:iCs/>
      <w:color w:val="4472C4" w:themeColor="accent1"/>
      <w:kern w:val="0"/>
      <w:sz w:val="24"/>
      <w:lang w:val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E3CFC"/>
    <w:rPr>
      <w:rFonts w:ascii="Times New Roman" w:eastAsiaTheme="minorEastAsia" w:hAnsi="Times New Roman"/>
      <w:b/>
      <w:bCs/>
      <w:i/>
      <w:iCs/>
      <w:color w:val="4472C4" w:themeColor="accent1"/>
      <w:kern w:val="0"/>
      <w:sz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4E3CFC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4E3CFC"/>
    <w:rPr>
      <w:b/>
      <w:bCs/>
      <w:i/>
      <w:iCs/>
      <w:color w:val="4472C4" w:themeColor="accent1"/>
    </w:rPr>
  </w:style>
  <w:style w:type="character" w:styleId="HafifBavuru">
    <w:name w:val="Subtle Reference"/>
    <w:basedOn w:val="VarsaylanParagrafYazTipi"/>
    <w:uiPriority w:val="31"/>
    <w:qFormat/>
    <w:rsid w:val="004E3CFC"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4E3CFC"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4E3CFC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CFC"/>
    <w:pPr>
      <w:spacing w:line="276" w:lineRule="auto"/>
      <w:outlineLvl w:val="9"/>
    </w:pPr>
    <w:rPr>
      <w:kern w:val="0"/>
      <w:lang w:val="en-US"/>
    </w:rPr>
  </w:style>
  <w:style w:type="table" w:styleId="AkGlgeleme">
    <w:name w:val="Light Shading"/>
    <w:basedOn w:val="NormalTablo"/>
    <w:uiPriority w:val="60"/>
    <w:rsid w:val="004E3CFC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4E3CFC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4E3CFC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4E3CFC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4E3CFC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4E3CFC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4E3CFC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">
    <w:name w:val="Light List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">
    <w:name w:val="Light Grid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4E3C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4E3CFC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oyuListe">
    <w:name w:val="Dark List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4E3CFC"/>
    <w:pPr>
      <w:spacing w:after="0" w:line="240" w:lineRule="auto"/>
    </w:pPr>
    <w:rPr>
      <w:rFonts w:eastAsiaTheme="minorEastAsia"/>
      <w:color w:val="FFFFFF" w:themeColor="background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">
    <w:name w:val="Colorful Shading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">
    <w:name w:val="Colorful Grid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4E3CFC"/>
    <w:pPr>
      <w:spacing w:after="0" w:line="240" w:lineRule="auto"/>
    </w:pPr>
    <w:rPr>
      <w:rFonts w:eastAsiaTheme="minorEastAsia"/>
      <w:color w:val="000000" w:themeColor="text1"/>
      <w:kern w:val="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E3C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2026-04-03T07:29:00Z</dcterms:created>
  <dcterms:modified xsi:type="dcterms:W3CDTF">2026-04-03T07:29:00Z</dcterms:modified>
</cp:coreProperties>
</file>